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r>
              <w:rPr>
                <w:rtl/>
              </w:rPr>
              <w:t xml:space="preserve"> </w:t>
            </w:r>
          </w:p>
        </w:tc>
        <w:tc>
          <w:tcPr>
            <w:tcW w:w="3771" w:type="dxa"/>
          </w:tcPr>
          <w:p w:rsidR="0094424E" w:rsidRDefault="00726E76" w:rsidP="00D44968">
            <w:pPr>
              <w:suppressLineNumbers/>
              <w:rPr>
                <w:rFonts w:ascii="Arial" w:hAnsi="Arial"/>
                <w:b/>
                <w:bCs/>
                <w:noProof w:val="0"/>
                <w:sz w:val="26"/>
                <w:szCs w:val="26"/>
                <w:rtl/>
              </w:rPr>
            </w:pPr>
            <w:r>
              <w:rPr>
                <w:rFonts w:ascii="Arial" w:hAnsi="Arial" w:hint="cs"/>
                <w:b/>
                <w:bCs/>
                <w:noProof w:val="0"/>
                <w:sz w:val="26"/>
                <w:szCs w:val="26"/>
                <w:rtl/>
              </w:rPr>
              <w:t xml:space="preserve">                               </w:t>
            </w:r>
            <w:r w:rsidR="0094424E">
              <w:rPr>
                <w:rFonts w:ascii="Arial" w:hAnsi="Arial"/>
                <w:b/>
                <w:bCs/>
                <w:noProof w:val="0"/>
                <w:sz w:val="26"/>
                <w:szCs w:val="26"/>
                <w:rtl/>
              </w:rPr>
              <w:t>מספר בקשה:</w:t>
            </w:r>
            <w:sdt>
              <w:sdtPr>
                <w:rPr>
                  <w:rtl/>
                </w:rPr>
                <w:alias w:val="1193"/>
                <w:tag w:val="1193"/>
                <w:id w:val="-636028727"/>
                <w:text w:multiLine="1"/>
              </w:sdtPr>
              <w:sdtEndPr/>
              <w:sdtContent>
                <w:r w:rsidR="0094424E">
                  <w:rPr>
                    <w:rFonts w:ascii="Arial" w:hAnsi="Arial"/>
                    <w:b/>
                    <w:bCs/>
                    <w:noProof w:val="0"/>
                    <w:sz w:val="32"/>
                    <w:szCs w:val="32"/>
                    <w:rtl/>
                  </w:rPr>
                  <w:t>116</w:t>
                </w:r>
              </w:sdtContent>
            </w:sdt>
          </w:p>
        </w:tc>
      </w:tr>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3"/>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r w:rsidR="000E57CC">
                  <w:rPr>
                    <w:rFonts w:ascii="Arial" w:hAnsi="Arial"/>
                    <w:b/>
                    <w:bCs/>
                    <w:sz w:val="26"/>
                    <w:szCs w:val="26"/>
                    <w:rtl/>
                  </w:rPr>
                  <w:br/>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5571E6" w:rsidRDefault="00726E76">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FA7FD0" w:rsidRDefault="00FA7FD0" w:rsidP="00D44968">
            <w:pPr>
              <w:suppressLineNumbers/>
              <w:rPr>
                <w:rtl/>
              </w:rPr>
            </w:pPr>
          </w:p>
          <w:p w:rsidR="0094424E" w:rsidRDefault="00B6649E" w:rsidP="00726E76">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726E76">
                  <w:rPr>
                    <w:rFonts w:ascii="Arial" w:hAnsi="Arial" w:hint="cs"/>
                    <w:b/>
                    <w:bCs/>
                    <w:noProof w:val="0"/>
                    <w:sz w:val="26"/>
                    <w:szCs w:val="26"/>
                    <w:rtl/>
                  </w:rPr>
                  <w:t>המוסד ל</w:t>
                </w:r>
                <w:r w:rsidR="00726E76">
                  <w:rPr>
                    <w:rFonts w:ascii="Arial" w:hAnsi="Arial"/>
                    <w:b/>
                    <w:bCs/>
                    <w:noProof w:val="0"/>
                    <w:sz w:val="26"/>
                    <w:szCs w:val="26"/>
                    <w:rtl/>
                  </w:rPr>
                  <w:t xml:space="preserve">ביטוח לאומי </w:t>
                </w:r>
                <w:r w:rsidR="00726E76">
                  <w:rPr>
                    <w:rFonts w:ascii="Arial" w:hAnsi="Arial" w:hint="cs"/>
                    <w:b/>
                    <w:bCs/>
                    <w:noProof w:val="0"/>
                    <w:sz w:val="26"/>
                    <w:szCs w:val="26"/>
                    <w:rtl/>
                  </w:rPr>
                  <w:t>מס' מזהה 500500772</w:t>
                </w:r>
                <w:r w:rsidR="00726E76">
                  <w:rPr>
                    <w:rFonts w:ascii="Arial" w:hAnsi="Arial"/>
                    <w:b/>
                    <w:bCs/>
                    <w:noProof w:val="0"/>
                    <w:sz w:val="26"/>
                    <w:szCs w:val="26"/>
                    <w:rtl/>
                  </w:rPr>
                  <w:br/>
                </w:r>
                <w:r w:rsidR="00726E76">
                  <w:rPr>
                    <w:rFonts w:ascii="Arial" w:hAnsi="Arial" w:hint="cs"/>
                    <w:b/>
                    <w:bCs/>
                    <w:noProof w:val="0"/>
                    <w:sz w:val="26"/>
                    <w:szCs w:val="26"/>
                    <w:rtl/>
                  </w:rPr>
                  <w:t>ע"י ב"כ עו"ד ציונה אבשלומוב</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6649E" w:rsidP="00D44968">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משיבים</w:t>
                </w:r>
              </w:sdtContent>
            </w:sdt>
          </w:p>
        </w:tc>
        <w:tc>
          <w:tcPr>
            <w:tcW w:w="5571" w:type="dxa"/>
            <w:gridSpan w:val="2"/>
          </w:tcPr>
          <w:p w:rsidR="00726E76" w:rsidRDefault="00726E76" w:rsidP="00DD132A">
            <w:pPr>
              <w:suppressLineNumbers/>
              <w:spacing w:line="360" w:lineRule="auto"/>
              <w:rPr>
                <w:rFonts w:ascii="Arial" w:hAnsi="Arial"/>
                <w:b/>
                <w:bCs/>
                <w:noProof w:val="0"/>
                <w:sz w:val="26"/>
                <w:szCs w:val="26"/>
                <w:rtl/>
              </w:rPr>
            </w:pPr>
            <w:r>
              <w:rPr>
                <w:rFonts w:ascii="Arial" w:hAnsi="Arial" w:hint="cs"/>
                <w:b/>
                <w:bCs/>
                <w:noProof w:val="0"/>
                <w:sz w:val="26"/>
                <w:szCs w:val="26"/>
                <w:rtl/>
              </w:rPr>
              <w:t>עזבון</w:t>
            </w:r>
            <w:r w:rsidR="00DD132A">
              <w:rPr>
                <w:rFonts w:ascii="Arial" w:hAnsi="Arial" w:hint="cs"/>
                <w:b/>
                <w:bCs/>
                <w:noProof w:val="0"/>
                <w:sz w:val="26"/>
                <w:szCs w:val="26"/>
                <w:rtl/>
              </w:rPr>
              <w:t xml:space="preserve"> המנוח פלוני אלמוני </w:t>
            </w:r>
            <w:r>
              <w:rPr>
                <w:rFonts w:ascii="Arial" w:hAnsi="Arial"/>
                <w:b/>
                <w:bCs/>
                <w:noProof w:val="0"/>
                <w:sz w:val="26"/>
                <w:szCs w:val="26"/>
                <w:rtl/>
              </w:rPr>
              <w:t>–</w:t>
            </w:r>
          </w:p>
          <w:p w:rsidR="00726E76" w:rsidRDefault="006955F2" w:rsidP="00726E76">
            <w:pPr>
              <w:suppressLineNumbers/>
              <w:spacing w:line="360" w:lineRule="auto"/>
              <w:rPr>
                <w:rFonts w:ascii="Arial" w:hAnsi="Arial"/>
                <w:b/>
                <w:bCs/>
                <w:noProof w:val="0"/>
                <w:sz w:val="26"/>
                <w:szCs w:val="26"/>
                <w:rtl/>
              </w:rPr>
            </w:pPr>
            <w:r>
              <w:rPr>
                <w:rFonts w:ascii="Arial" w:hAnsi="Arial" w:hint="cs"/>
                <w:b/>
                <w:bCs/>
                <w:noProof w:val="0"/>
                <w:sz w:val="26"/>
                <w:szCs w:val="26"/>
                <w:rtl/>
              </w:rPr>
              <w:t>משיבים</w:t>
            </w:r>
            <w:r w:rsidR="00726E76">
              <w:rPr>
                <w:rFonts w:ascii="Arial" w:hAnsi="Arial" w:hint="cs"/>
                <w:b/>
                <w:bCs/>
                <w:noProof w:val="0"/>
                <w:sz w:val="26"/>
                <w:szCs w:val="26"/>
                <w:rtl/>
              </w:rPr>
              <w:t xml:space="preserve"> 1-12 פלונים</w:t>
            </w:r>
          </w:p>
          <w:p w:rsidR="00726E76" w:rsidRDefault="00726E76" w:rsidP="00726E76">
            <w:pPr>
              <w:suppressLineNumbers/>
              <w:spacing w:line="360" w:lineRule="auto"/>
              <w:rPr>
                <w:rFonts w:ascii="Arial" w:hAnsi="Arial"/>
                <w:b/>
                <w:bCs/>
                <w:noProof w:val="0"/>
                <w:sz w:val="26"/>
                <w:szCs w:val="26"/>
                <w:rtl/>
              </w:rPr>
            </w:pPr>
            <w:r>
              <w:rPr>
                <w:rFonts w:ascii="Arial" w:hAnsi="Arial" w:hint="cs"/>
                <w:b/>
                <w:bCs/>
                <w:noProof w:val="0"/>
                <w:sz w:val="26"/>
                <w:szCs w:val="26"/>
                <w:rtl/>
              </w:rPr>
              <w:t>ע"י ב"כ עו"ד רון פסקא</w:t>
            </w:r>
          </w:p>
          <w:p w:rsidR="00726E76" w:rsidRDefault="00726E76" w:rsidP="00726E76">
            <w:pPr>
              <w:suppressLineNumbers/>
              <w:spacing w:line="360" w:lineRule="auto"/>
              <w:rPr>
                <w:rFonts w:ascii="Arial" w:hAnsi="Arial"/>
                <w:b/>
                <w:bCs/>
                <w:noProof w:val="0"/>
                <w:sz w:val="26"/>
                <w:szCs w:val="26"/>
                <w:rtl/>
              </w:rPr>
            </w:pPr>
          </w:p>
          <w:p w:rsidR="00CF6BB7" w:rsidRPr="00CD516B" w:rsidRDefault="00B6649E" w:rsidP="00FE09EC">
            <w:pPr>
              <w:suppressLineNumbers/>
              <w:rPr>
                <w:rFonts w:ascii="Arial" w:hAnsi="Arial"/>
                <w:b/>
                <w:bCs/>
                <w:noProof w:val="0"/>
                <w:sz w:val="26"/>
                <w:szCs w:val="26"/>
                <w:rtl/>
              </w:rPr>
            </w:pPr>
            <w:sdt>
              <w:sdtPr>
                <w:rPr>
                  <w:rFonts w:ascii="Arial" w:hAnsi="Arial"/>
                  <w:b/>
                  <w:bCs/>
                  <w:noProof w:val="0"/>
                  <w:sz w:val="26"/>
                  <w:szCs w:val="26"/>
                  <w:rtl/>
                </w:rPr>
                <w:alias w:val="1571"/>
                <w:tag w:val="1571"/>
                <w:id w:val="1634134794"/>
                <w:text w:multiLine="1"/>
              </w:sdtPr>
              <w:sdtEndPr/>
              <w:sdtContent>
                <w:r w:rsidR="00E765F7">
                  <w:rPr>
                    <w:rFonts w:ascii="Arial" w:hAnsi="Arial"/>
                    <w:b/>
                    <w:bCs/>
                    <w:noProof w:val="0"/>
                    <w:sz w:val="26"/>
                    <w:szCs w:val="26"/>
                    <w:rtl/>
                  </w:rPr>
                  <w:t>13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575417571"/>
                <w:placeholder>
                  <w:docPart w:val="4DC45A2FD697422FAA3CD896A84FA7B4"/>
                </w:placeholder>
                <w:text w:multiLine="1"/>
              </w:sdtPr>
              <w:sdtEndPr/>
              <w:sdtContent>
                <w:r w:rsidR="00E765F7">
                  <w:rPr>
                    <w:rFonts w:ascii="Arial" w:hAnsi="Arial"/>
                    <w:b/>
                    <w:bCs/>
                    <w:noProof w:val="0"/>
                    <w:sz w:val="26"/>
                    <w:szCs w:val="26"/>
                    <w:rtl/>
                  </w:rPr>
                  <w:t>קרנית - קרן לפיצוי נפגעי תאונות דרכים</w:t>
                </w:r>
                <w:r w:rsidR="00726E76">
                  <w:rPr>
                    <w:rFonts w:ascii="Arial" w:hAnsi="Arial"/>
                    <w:b/>
                    <w:bCs/>
                    <w:noProof w:val="0"/>
                    <w:sz w:val="26"/>
                    <w:szCs w:val="26"/>
                    <w:rtl/>
                  </w:rPr>
                  <w:br/>
                </w:r>
                <w:r w:rsidR="00726E76">
                  <w:rPr>
                    <w:rFonts w:ascii="Arial" w:hAnsi="Arial" w:hint="cs"/>
                    <w:b/>
                    <w:bCs/>
                    <w:noProof w:val="0"/>
                    <w:sz w:val="26"/>
                    <w:szCs w:val="26"/>
                    <w:rtl/>
                  </w:rPr>
                  <w:t>ע"י ב"כ עו"ד י. ראובינוף</w:t>
                </w:r>
              </w:sdtContent>
            </w:sdt>
          </w:p>
        </w:tc>
      </w:tr>
    </w:tbl>
    <w:p w:rsidR="0094424E" w:rsidRDefault="0094424E" w:rsidP="00D44968">
      <w:pPr>
        <w:suppressLineNumbers/>
        <w:rPr>
          <w:rtl/>
        </w:rPr>
      </w:pPr>
    </w:p>
    <w:p w:rsidR="00726E76" w:rsidRDefault="00726E76"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0E57CC">
            <w:pPr>
              <w:bidi w:val="0"/>
              <w:spacing w:line="360" w:lineRule="auto"/>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726E76" w:rsidP="00DD132A">
      <w:pPr>
        <w:spacing w:after="120" w:line="360" w:lineRule="auto"/>
        <w:ind w:left="567" w:hanging="567"/>
        <w:jc w:val="both"/>
        <w:rPr>
          <w:rFonts w:ascii="Arial" w:hAnsi="Arial"/>
          <w:noProof w:val="0"/>
          <w:rtl/>
        </w:rPr>
      </w:pPr>
      <w:bookmarkStart w:id="0" w:name="NGCSBookmark"/>
      <w:bookmarkEnd w:id="0"/>
      <w:r>
        <w:rPr>
          <w:rFonts w:ascii="Arial" w:hAnsi="Arial" w:hint="cs"/>
          <w:noProof w:val="0"/>
          <w:rtl/>
        </w:rPr>
        <w:t>1.</w:t>
      </w:r>
      <w:r>
        <w:rPr>
          <w:rFonts w:ascii="Arial" w:hAnsi="Arial"/>
          <w:noProof w:val="0"/>
          <w:rtl/>
        </w:rPr>
        <w:tab/>
      </w:r>
      <w:r w:rsidR="006955F2">
        <w:rPr>
          <w:rFonts w:ascii="Arial" w:hAnsi="Arial" w:hint="cs"/>
          <w:noProof w:val="0"/>
          <w:rtl/>
        </w:rPr>
        <w:t xml:space="preserve">משיבים 1-12 </w:t>
      </w:r>
      <w:r w:rsidR="002872C0">
        <w:rPr>
          <w:rFonts w:ascii="Arial" w:hAnsi="Arial" w:hint="cs"/>
          <w:noProof w:val="0"/>
          <w:rtl/>
        </w:rPr>
        <w:t>(להלן: "</w:t>
      </w:r>
      <w:r w:rsidR="002872C0" w:rsidRPr="002872C0">
        <w:rPr>
          <w:rFonts w:ascii="Arial" w:hAnsi="Arial" w:hint="cs"/>
          <w:b/>
          <w:bCs/>
          <w:noProof w:val="0"/>
          <w:rtl/>
        </w:rPr>
        <w:t>המשיבים</w:t>
      </w:r>
      <w:r w:rsidR="002872C0">
        <w:rPr>
          <w:rFonts w:ascii="Arial" w:hAnsi="Arial" w:hint="cs"/>
          <w:noProof w:val="0"/>
          <w:rtl/>
        </w:rPr>
        <w:t xml:space="preserve">") </w:t>
      </w:r>
      <w:r w:rsidR="006955F2">
        <w:rPr>
          <w:rFonts w:ascii="Arial" w:hAnsi="Arial" w:hint="cs"/>
          <w:noProof w:val="0"/>
          <w:rtl/>
        </w:rPr>
        <w:t>הגישו תובענה זו נגד משיבה 13</w:t>
      </w:r>
      <w:r w:rsidR="002872C0">
        <w:rPr>
          <w:rFonts w:ascii="Arial" w:hAnsi="Arial" w:hint="cs"/>
          <w:noProof w:val="0"/>
          <w:rtl/>
        </w:rPr>
        <w:t xml:space="preserve"> (להלן: "</w:t>
      </w:r>
      <w:r w:rsidR="002872C0" w:rsidRPr="002872C0">
        <w:rPr>
          <w:rFonts w:ascii="Arial" w:hAnsi="Arial" w:hint="cs"/>
          <w:b/>
          <w:bCs/>
          <w:noProof w:val="0"/>
          <w:rtl/>
        </w:rPr>
        <w:t>המשיבה</w:t>
      </w:r>
      <w:r w:rsidR="002872C0">
        <w:rPr>
          <w:rFonts w:ascii="Arial" w:hAnsi="Arial" w:hint="cs"/>
          <w:noProof w:val="0"/>
          <w:rtl/>
        </w:rPr>
        <w:t>")</w:t>
      </w:r>
      <w:r w:rsidR="00DD132A">
        <w:rPr>
          <w:rFonts w:ascii="Arial" w:hAnsi="Arial" w:hint="cs"/>
          <w:noProof w:val="0"/>
          <w:rtl/>
        </w:rPr>
        <w:t>, לאחר שפלוני</w:t>
      </w:r>
      <w:r w:rsidR="006955F2">
        <w:rPr>
          <w:rFonts w:ascii="Arial" w:hAnsi="Arial" w:hint="cs"/>
          <w:noProof w:val="0"/>
          <w:rtl/>
        </w:rPr>
        <w:t xml:space="preserve"> </w:t>
      </w:r>
      <w:r w:rsidR="00DD132A">
        <w:rPr>
          <w:rFonts w:ascii="Arial" w:hAnsi="Arial" w:hint="cs"/>
          <w:noProof w:val="0"/>
          <w:rtl/>
        </w:rPr>
        <w:t>אלמוני</w:t>
      </w:r>
      <w:r w:rsidR="006955F2">
        <w:rPr>
          <w:rFonts w:ascii="Arial" w:hAnsi="Arial" w:hint="cs"/>
          <w:noProof w:val="0"/>
          <w:rtl/>
        </w:rPr>
        <w:t xml:space="preserve"> המנוח (להלן: "</w:t>
      </w:r>
      <w:r w:rsidR="006955F2" w:rsidRPr="006955F2">
        <w:rPr>
          <w:rFonts w:ascii="Arial" w:hAnsi="Arial" w:hint="cs"/>
          <w:b/>
          <w:bCs/>
          <w:noProof w:val="0"/>
          <w:rtl/>
        </w:rPr>
        <w:t>המנוח</w:t>
      </w:r>
      <w:r w:rsidR="006955F2">
        <w:rPr>
          <w:rFonts w:ascii="Arial" w:hAnsi="Arial" w:hint="cs"/>
          <w:noProof w:val="0"/>
          <w:rtl/>
        </w:rPr>
        <w:t>") הלך לעולמו כתוצאה מתאונת דרכים ביום 28.12.2018.</w:t>
      </w:r>
    </w:p>
    <w:p w:rsidR="00312F28" w:rsidRDefault="00726E76" w:rsidP="00312F28">
      <w:pPr>
        <w:spacing w:after="120" w:line="360" w:lineRule="auto"/>
        <w:ind w:left="567" w:hanging="567"/>
        <w:jc w:val="both"/>
        <w:rPr>
          <w:rFonts w:ascii="Arial" w:hAnsi="Arial"/>
          <w:noProof w:val="0"/>
          <w:rtl/>
        </w:rPr>
      </w:pPr>
      <w:r>
        <w:rPr>
          <w:rFonts w:ascii="Arial" w:hAnsi="Arial" w:hint="cs"/>
          <w:noProof w:val="0"/>
          <w:rtl/>
        </w:rPr>
        <w:t>2.</w:t>
      </w:r>
      <w:r>
        <w:rPr>
          <w:rFonts w:ascii="Arial" w:hAnsi="Arial"/>
          <w:noProof w:val="0"/>
          <w:rtl/>
        </w:rPr>
        <w:tab/>
      </w:r>
      <w:r w:rsidR="006955F2">
        <w:rPr>
          <w:rFonts w:ascii="Arial" w:hAnsi="Arial" w:hint="cs"/>
          <w:noProof w:val="0"/>
          <w:rtl/>
        </w:rPr>
        <w:t>בתובענה זו ניתן פסק דין ביום 3.11.2021</w:t>
      </w:r>
      <w:r w:rsidR="00671A49">
        <w:rPr>
          <w:rFonts w:ascii="Arial" w:hAnsi="Arial" w:hint="cs"/>
          <w:noProof w:val="0"/>
          <w:rtl/>
        </w:rPr>
        <w:t xml:space="preserve"> (ערעור וערעור שכנגד נדחו, בפסק דינו של בית המשפט העליון מיום 19.9.2022 </w:t>
      </w:r>
      <w:r w:rsidR="00671A49">
        <w:rPr>
          <w:rFonts w:ascii="Arial" w:hAnsi="Arial"/>
          <w:noProof w:val="0"/>
          <w:rtl/>
        </w:rPr>
        <w:t>–</w:t>
      </w:r>
      <w:r w:rsidR="00671A49">
        <w:rPr>
          <w:rFonts w:ascii="Arial" w:hAnsi="Arial" w:hint="cs"/>
          <w:noProof w:val="0"/>
          <w:rtl/>
        </w:rPr>
        <w:t xml:space="preserve"> </w:t>
      </w:r>
      <w:r w:rsidR="00671A49">
        <w:rPr>
          <w:rFonts w:ascii="Arial" w:hAnsi="Arial"/>
          <w:noProof w:val="0"/>
          <w:rtl/>
        </w:rPr>
        <w:t>ע</w:t>
      </w:r>
      <w:r w:rsidR="00671A49">
        <w:rPr>
          <w:rFonts w:ascii="Arial" w:hAnsi="Arial" w:hint="cs"/>
          <w:noProof w:val="0"/>
          <w:rtl/>
        </w:rPr>
        <w:t>"</w:t>
      </w:r>
      <w:r w:rsidR="00671A49">
        <w:rPr>
          <w:rFonts w:ascii="Arial" w:hAnsi="Arial"/>
          <w:noProof w:val="0"/>
          <w:rtl/>
        </w:rPr>
        <w:t xml:space="preserve">א 8991/21 </w:t>
      </w:r>
      <w:r w:rsidR="00671A49" w:rsidRPr="00671A49">
        <w:rPr>
          <w:rFonts w:ascii="Arial" w:hAnsi="Arial"/>
          <w:b/>
          <w:bCs/>
          <w:noProof w:val="0"/>
          <w:rtl/>
        </w:rPr>
        <w:t>פלונית נ' קרנית - הקרן לפיצוי נפגעי תאונות דרכים</w:t>
      </w:r>
      <w:r w:rsidR="00671A49" w:rsidRPr="00671A49">
        <w:rPr>
          <w:rFonts w:ascii="Arial" w:hAnsi="Arial" w:hint="cs"/>
          <w:noProof w:val="0"/>
          <w:rtl/>
        </w:rPr>
        <w:t>)</w:t>
      </w:r>
      <w:r w:rsidR="00671A49" w:rsidRPr="00671A49">
        <w:rPr>
          <w:rFonts w:ascii="Arial" w:hAnsi="Arial"/>
          <w:noProof w:val="0"/>
          <w:rtl/>
        </w:rPr>
        <w:t>‏</w:t>
      </w:r>
      <w:r w:rsidR="00671A49">
        <w:rPr>
          <w:rFonts w:ascii="Arial" w:hAnsi="Arial" w:hint="cs"/>
          <w:noProof w:val="0"/>
          <w:rtl/>
        </w:rPr>
        <w:t xml:space="preserve">. </w:t>
      </w:r>
      <w:r w:rsidR="00312F28">
        <w:rPr>
          <w:rFonts w:ascii="Arial" w:hAnsi="Arial" w:hint="cs"/>
          <w:noProof w:val="0"/>
          <w:rtl/>
        </w:rPr>
        <w:t xml:space="preserve">בקליפת אגוז יסופר, כי </w:t>
      </w:r>
      <w:r w:rsidR="00671A49">
        <w:rPr>
          <w:rFonts w:ascii="Arial" w:hAnsi="Arial" w:hint="cs"/>
          <w:noProof w:val="0"/>
          <w:rtl/>
        </w:rPr>
        <w:t>במסגרת פסק הדין</w:t>
      </w:r>
      <w:r w:rsidR="00312F28">
        <w:rPr>
          <w:rFonts w:ascii="Arial" w:hAnsi="Arial" w:hint="cs"/>
          <w:noProof w:val="0"/>
          <w:rtl/>
        </w:rPr>
        <w:t xml:space="preserve"> הנ"ל</w:t>
      </w:r>
      <w:r w:rsidR="00671A49">
        <w:rPr>
          <w:rFonts w:ascii="Arial" w:hAnsi="Arial" w:hint="cs"/>
          <w:noProof w:val="0"/>
          <w:rtl/>
        </w:rPr>
        <w:t>, נפסקו למשיבים פיצויים</w:t>
      </w:r>
      <w:r w:rsidR="00312F28">
        <w:rPr>
          <w:rFonts w:ascii="Arial" w:hAnsi="Arial" w:hint="cs"/>
          <w:noProof w:val="0"/>
          <w:rtl/>
        </w:rPr>
        <w:t>, ש"נבלעו" בסכום קצבאות השארים ששולמו לשתי בנות הזוג של המנוח, על ידי המבקש כאן.</w:t>
      </w:r>
    </w:p>
    <w:p w:rsidR="00726E76" w:rsidRDefault="00312F28" w:rsidP="00312F28">
      <w:pPr>
        <w:spacing w:after="120" w:line="360" w:lineRule="auto"/>
        <w:ind w:left="567" w:hanging="567"/>
        <w:jc w:val="both"/>
        <w:rPr>
          <w:rFonts w:ascii="Arial" w:hAnsi="Arial"/>
          <w:noProof w:val="0"/>
          <w:rtl/>
        </w:rPr>
      </w:pPr>
      <w:r>
        <w:rPr>
          <w:rFonts w:ascii="Arial" w:hAnsi="Arial"/>
          <w:noProof w:val="0"/>
          <w:rtl/>
        </w:rPr>
        <w:tab/>
      </w:r>
      <w:r>
        <w:rPr>
          <w:rFonts w:ascii="Arial" w:hAnsi="Arial" w:hint="cs"/>
          <w:noProof w:val="0"/>
          <w:rtl/>
        </w:rPr>
        <w:t>לנוכח "בליעת" סכום הפיצוי, ו</w:t>
      </w:r>
      <w:r>
        <w:rPr>
          <w:rFonts w:ascii="Arial" w:hAnsi="Arial"/>
          <w:noProof w:val="0"/>
          <w:rtl/>
        </w:rPr>
        <w:t>מכח סעיף 330(ג) לחוק</w:t>
      </w:r>
      <w:r>
        <w:rPr>
          <w:rFonts w:ascii="Arial" w:hAnsi="Arial" w:hint="cs"/>
          <w:noProof w:val="0"/>
          <w:rtl/>
        </w:rPr>
        <w:t xml:space="preserve"> הביטוח הלאומי [נוסח משולב], תשנ"ה-1995 (להלן: "</w:t>
      </w:r>
      <w:r w:rsidRPr="00312F28">
        <w:rPr>
          <w:rFonts w:ascii="Arial" w:hAnsi="Arial" w:hint="cs"/>
          <w:b/>
          <w:bCs/>
          <w:noProof w:val="0"/>
          <w:rtl/>
        </w:rPr>
        <w:t>החוק</w:t>
      </w:r>
      <w:r>
        <w:rPr>
          <w:rFonts w:ascii="Arial" w:hAnsi="Arial" w:hint="cs"/>
          <w:noProof w:val="0"/>
          <w:rtl/>
        </w:rPr>
        <w:t xml:space="preserve">"), נקבע </w:t>
      </w:r>
      <w:r w:rsidRPr="00312F28">
        <w:rPr>
          <w:rFonts w:ascii="Arial" w:hAnsi="Arial"/>
          <w:noProof w:val="0"/>
          <w:rtl/>
        </w:rPr>
        <w:t xml:space="preserve">כי </w:t>
      </w:r>
      <w:r w:rsidR="002872C0">
        <w:rPr>
          <w:rFonts w:ascii="Arial" w:hAnsi="Arial" w:hint="cs"/>
          <w:noProof w:val="0"/>
          <w:rtl/>
        </w:rPr>
        <w:t>ה</w:t>
      </w:r>
      <w:r>
        <w:rPr>
          <w:rFonts w:ascii="Arial" w:hAnsi="Arial" w:hint="cs"/>
          <w:noProof w:val="0"/>
          <w:rtl/>
        </w:rPr>
        <w:t xml:space="preserve">משיבים </w:t>
      </w:r>
      <w:r>
        <w:rPr>
          <w:rFonts w:ascii="Arial" w:hAnsi="Arial"/>
          <w:noProof w:val="0"/>
          <w:rtl/>
        </w:rPr>
        <w:t xml:space="preserve">זכאים </w:t>
      </w:r>
      <w:r w:rsidRPr="00312F28">
        <w:rPr>
          <w:rFonts w:ascii="Arial" w:hAnsi="Arial"/>
          <w:noProof w:val="0"/>
          <w:rtl/>
        </w:rPr>
        <w:t>ל-25%</w:t>
      </w:r>
      <w:r>
        <w:rPr>
          <w:rFonts w:ascii="Arial" w:hAnsi="Arial" w:hint="cs"/>
          <w:noProof w:val="0"/>
          <w:rtl/>
        </w:rPr>
        <w:t xml:space="preserve"> </w:t>
      </w:r>
      <w:r>
        <w:rPr>
          <w:rFonts w:ascii="Arial" w:hAnsi="Arial"/>
          <w:noProof w:val="0"/>
          <w:rtl/>
        </w:rPr>
        <w:t>מסכום נזקיהם</w:t>
      </w:r>
      <w:r>
        <w:rPr>
          <w:rFonts w:ascii="Arial" w:hAnsi="Arial" w:hint="cs"/>
          <w:noProof w:val="0"/>
          <w:rtl/>
        </w:rPr>
        <w:t xml:space="preserve">, </w:t>
      </w:r>
      <w:r w:rsidRPr="00312F28">
        <w:rPr>
          <w:rFonts w:ascii="Arial" w:hAnsi="Arial"/>
          <w:noProof w:val="0"/>
          <w:rtl/>
        </w:rPr>
        <w:t xml:space="preserve">בסכום </w:t>
      </w:r>
      <w:r>
        <w:rPr>
          <w:rFonts w:ascii="Arial" w:hAnsi="Arial" w:hint="cs"/>
          <w:noProof w:val="0"/>
          <w:rtl/>
        </w:rPr>
        <w:t xml:space="preserve">כולל </w:t>
      </w:r>
      <w:r>
        <w:rPr>
          <w:rFonts w:ascii="Arial" w:hAnsi="Arial"/>
          <w:noProof w:val="0"/>
          <w:rtl/>
        </w:rPr>
        <w:t>של</w:t>
      </w:r>
      <w:r>
        <w:rPr>
          <w:rFonts w:ascii="Arial" w:hAnsi="Arial" w:hint="cs"/>
          <w:noProof w:val="0"/>
          <w:rtl/>
        </w:rPr>
        <w:t xml:space="preserve"> </w:t>
      </w:r>
      <w:r w:rsidRPr="00312F28">
        <w:rPr>
          <w:rFonts w:ascii="Arial" w:hAnsi="Arial"/>
          <w:noProof w:val="0"/>
          <w:rtl/>
        </w:rPr>
        <w:t>514,359</w:t>
      </w:r>
      <w:r>
        <w:rPr>
          <w:rFonts w:ascii="Arial" w:hAnsi="Arial" w:hint="cs"/>
          <w:noProof w:val="0"/>
          <w:rtl/>
        </w:rPr>
        <w:t xml:space="preserve"> </w:t>
      </w:r>
      <w:r w:rsidRPr="00312F28">
        <w:rPr>
          <w:rFonts w:ascii="Arial" w:hAnsi="Arial"/>
          <w:noProof w:val="0"/>
          <w:rtl/>
        </w:rPr>
        <w:t>₪.</w:t>
      </w:r>
    </w:p>
    <w:p w:rsidR="00DC6948" w:rsidRDefault="00DC6948" w:rsidP="00312F28">
      <w:pPr>
        <w:spacing w:after="120" w:line="360" w:lineRule="auto"/>
        <w:ind w:left="567" w:hanging="567"/>
        <w:jc w:val="both"/>
        <w:rPr>
          <w:rFonts w:ascii="Arial" w:hAnsi="Arial"/>
          <w:noProof w:val="0"/>
          <w:rtl/>
        </w:rPr>
      </w:pPr>
    </w:p>
    <w:p w:rsidR="00DC6948" w:rsidRPr="00DC6948" w:rsidRDefault="00DC6948" w:rsidP="00312F28">
      <w:pPr>
        <w:spacing w:after="120" w:line="360" w:lineRule="auto"/>
        <w:ind w:left="567" w:hanging="567"/>
        <w:jc w:val="both"/>
        <w:rPr>
          <w:rFonts w:ascii="Arial" w:hAnsi="Arial"/>
          <w:b/>
          <w:bCs/>
          <w:noProof w:val="0"/>
          <w:u w:val="single"/>
          <w:rtl/>
        </w:rPr>
      </w:pPr>
      <w:r w:rsidRPr="00DC6948">
        <w:rPr>
          <w:rFonts w:ascii="Arial" w:hAnsi="Arial" w:hint="cs"/>
          <w:b/>
          <w:bCs/>
          <w:noProof w:val="0"/>
          <w:u w:val="single"/>
          <w:rtl/>
        </w:rPr>
        <w:t>הבקשה שלפניי</w:t>
      </w:r>
    </w:p>
    <w:p w:rsidR="00312F28" w:rsidRDefault="00312F28" w:rsidP="002872C0">
      <w:pPr>
        <w:spacing w:after="120" w:line="360" w:lineRule="auto"/>
        <w:ind w:left="567" w:hanging="567"/>
        <w:jc w:val="both"/>
        <w:rPr>
          <w:rFonts w:ascii="Arial" w:hAnsi="Arial"/>
          <w:noProof w:val="0"/>
          <w:rtl/>
        </w:rPr>
      </w:pPr>
      <w:r>
        <w:rPr>
          <w:rFonts w:ascii="Arial" w:hAnsi="Arial" w:hint="cs"/>
          <w:noProof w:val="0"/>
          <w:rtl/>
        </w:rPr>
        <w:t>3.</w:t>
      </w:r>
      <w:r>
        <w:rPr>
          <w:rFonts w:ascii="Arial" w:hAnsi="Arial"/>
          <w:noProof w:val="0"/>
          <w:rtl/>
        </w:rPr>
        <w:tab/>
      </w:r>
      <w:r w:rsidR="00343E95" w:rsidRPr="002872C0">
        <w:rPr>
          <w:rFonts w:ascii="Arial" w:hAnsi="Arial" w:hint="cs"/>
          <w:noProof w:val="0"/>
          <w:u w:val="single"/>
          <w:rtl/>
        </w:rPr>
        <w:t>ביום 1.12.202</w:t>
      </w:r>
      <w:r w:rsidR="002872C0" w:rsidRPr="002872C0">
        <w:rPr>
          <w:rFonts w:ascii="Arial" w:hAnsi="Arial" w:hint="cs"/>
          <w:noProof w:val="0"/>
          <w:u w:val="single"/>
          <w:rtl/>
        </w:rPr>
        <w:t>4, הגיש המבקש את בקשתו בתיק, לקבלת הרשאה לעיון אלקטרוני בתיק דנן. להלן נימוקיו</w:t>
      </w:r>
      <w:r w:rsidR="002872C0">
        <w:rPr>
          <w:rFonts w:ascii="Arial" w:hAnsi="Arial" w:hint="cs"/>
          <w:noProof w:val="0"/>
          <w:rtl/>
        </w:rPr>
        <w:t>:</w:t>
      </w:r>
    </w:p>
    <w:p w:rsidR="0011793A" w:rsidRDefault="002872C0" w:rsidP="002872C0">
      <w:pPr>
        <w:spacing w:after="120"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sidR="0011793A">
        <w:rPr>
          <w:rFonts w:ascii="Arial" w:hAnsi="Arial" w:hint="cs"/>
          <w:noProof w:val="0"/>
          <w:rtl/>
        </w:rPr>
        <w:t>סעיף 328 לחוק, מקנה למבקש את הזכות לתבוע מאת האחראיים לתאונה את החזרי הגמלאות שהמבקש שילם ל</w:t>
      </w:r>
      <w:r w:rsidR="0007140D">
        <w:rPr>
          <w:rFonts w:ascii="Arial" w:hAnsi="Arial" w:hint="cs"/>
          <w:noProof w:val="0"/>
          <w:rtl/>
        </w:rPr>
        <w:t>משיבים (להלן: "</w:t>
      </w:r>
      <w:r w:rsidR="0007140D" w:rsidRPr="0007140D">
        <w:rPr>
          <w:rFonts w:ascii="Arial" w:hAnsi="Arial" w:hint="cs"/>
          <w:b/>
          <w:bCs/>
          <w:noProof w:val="0"/>
          <w:rtl/>
        </w:rPr>
        <w:t xml:space="preserve">תביעת </w:t>
      </w:r>
      <w:r w:rsidR="00D34E40">
        <w:rPr>
          <w:rFonts w:ascii="Arial" w:hAnsi="Arial" w:hint="cs"/>
          <w:b/>
          <w:bCs/>
          <w:noProof w:val="0"/>
          <w:rtl/>
        </w:rPr>
        <w:t>ה</w:t>
      </w:r>
      <w:r w:rsidR="0007140D" w:rsidRPr="0007140D">
        <w:rPr>
          <w:rFonts w:ascii="Arial" w:hAnsi="Arial" w:hint="cs"/>
          <w:b/>
          <w:bCs/>
          <w:noProof w:val="0"/>
          <w:rtl/>
        </w:rPr>
        <w:t>שיבוב</w:t>
      </w:r>
      <w:r w:rsidR="0007140D">
        <w:rPr>
          <w:rFonts w:ascii="Arial" w:hAnsi="Arial" w:hint="cs"/>
          <w:noProof w:val="0"/>
          <w:rtl/>
        </w:rPr>
        <w:t>"). המבקש הינו חליפו של המנוח בתביעה נגד המזיקים בתיק דנן.</w:t>
      </w:r>
    </w:p>
    <w:p w:rsidR="0007140D" w:rsidRDefault="0007140D" w:rsidP="002872C0">
      <w:pPr>
        <w:spacing w:after="120" w:line="360" w:lineRule="auto"/>
        <w:ind w:left="1134" w:hanging="567"/>
        <w:jc w:val="both"/>
        <w:rPr>
          <w:rFonts w:ascii="Arial" w:hAnsi="Arial"/>
          <w:noProof w:val="0"/>
          <w:rtl/>
        </w:rPr>
      </w:pPr>
      <w:r>
        <w:rPr>
          <w:rFonts w:ascii="Arial" w:hAnsi="Arial" w:hint="cs"/>
          <w:noProof w:val="0"/>
          <w:rtl/>
        </w:rPr>
        <w:lastRenderedPageBreak/>
        <w:t>ב.</w:t>
      </w:r>
      <w:r>
        <w:rPr>
          <w:rFonts w:ascii="Arial" w:hAnsi="Arial"/>
          <w:noProof w:val="0"/>
          <w:rtl/>
        </w:rPr>
        <w:tab/>
      </w:r>
      <w:r>
        <w:rPr>
          <w:rFonts w:ascii="Arial" w:hAnsi="Arial" w:hint="cs"/>
          <w:noProof w:val="0"/>
          <w:rtl/>
        </w:rPr>
        <w:t>בתביעת השיבוב, היא תביעת המבקש נגד המשיב</w:t>
      </w:r>
      <w:r w:rsidR="004C1D4E">
        <w:rPr>
          <w:rFonts w:ascii="Arial" w:hAnsi="Arial" w:hint="cs"/>
          <w:noProof w:val="0"/>
          <w:rtl/>
        </w:rPr>
        <w:t>ה</w:t>
      </w:r>
      <w:r>
        <w:rPr>
          <w:rFonts w:ascii="Arial" w:hAnsi="Arial" w:hint="cs"/>
          <w:noProof w:val="0"/>
          <w:rtl/>
        </w:rPr>
        <w:t>, המבקש נכנס בנעלי המשיבים ותביעת השיבוב נשענת על התביעה דנן, ועל הנסיבות בגינן המשיבים זכאים לגמלה. משכך, אין למבקש דרך לקבל את החזר הגמלאות ששולמו, מבלי להזדקק לעזרת מקבלי הגמלה ויתר הצדדים בתיק זה.</w:t>
      </w:r>
    </w:p>
    <w:p w:rsidR="002872C0" w:rsidRDefault="0007140D" w:rsidP="002872C0">
      <w:pPr>
        <w:spacing w:after="120" w:line="360" w:lineRule="auto"/>
        <w:ind w:left="1134" w:hanging="567"/>
        <w:jc w:val="both"/>
        <w:rPr>
          <w:rFonts w:ascii="Arial" w:hAnsi="Arial"/>
          <w:noProof w:val="0"/>
          <w:rtl/>
        </w:rPr>
      </w:pPr>
      <w:r>
        <w:rPr>
          <w:rFonts w:ascii="Arial" w:hAnsi="Arial" w:hint="cs"/>
          <w:noProof w:val="0"/>
          <w:rtl/>
        </w:rPr>
        <w:t>ג</w:t>
      </w:r>
      <w:r w:rsidR="0011793A">
        <w:rPr>
          <w:rFonts w:ascii="Arial" w:hAnsi="Arial" w:hint="cs"/>
          <w:noProof w:val="0"/>
          <w:rtl/>
        </w:rPr>
        <w:t>.</w:t>
      </w:r>
      <w:r w:rsidR="0011793A">
        <w:rPr>
          <w:rFonts w:ascii="Arial" w:hAnsi="Arial"/>
          <w:noProof w:val="0"/>
          <w:rtl/>
        </w:rPr>
        <w:tab/>
      </w:r>
      <w:r w:rsidR="002872C0">
        <w:rPr>
          <w:rFonts w:ascii="Arial" w:hAnsi="Arial" w:hint="cs"/>
          <w:noProof w:val="0"/>
          <w:rtl/>
        </w:rPr>
        <w:t>הן תביעת המבקש והן תביעת המשיבים עוסקות באותו אירוע תאונה בה קיפח המנוח את חייו, וכן באותה מסכת עובדתית. כל השאלות שהתעורר</w:t>
      </w:r>
      <w:r w:rsidR="0011793A">
        <w:rPr>
          <w:rFonts w:ascii="Arial" w:hAnsi="Arial" w:hint="cs"/>
          <w:noProof w:val="0"/>
          <w:rtl/>
        </w:rPr>
        <w:t>ו</w:t>
      </w:r>
      <w:r w:rsidR="002872C0">
        <w:rPr>
          <w:rFonts w:ascii="Arial" w:hAnsi="Arial" w:hint="cs"/>
          <w:noProof w:val="0"/>
          <w:rtl/>
        </w:rPr>
        <w:t xml:space="preserve"> בתביעת המבקש ובתביעת המשיבים (במסגרת התביעה דנן) עוסקות באותן </w:t>
      </w:r>
      <w:r w:rsidR="001F18F6">
        <w:rPr>
          <w:rFonts w:ascii="Arial" w:hAnsi="Arial" w:hint="cs"/>
          <w:noProof w:val="0"/>
          <w:rtl/>
        </w:rPr>
        <w:t>פלוגתות</w:t>
      </w:r>
      <w:r w:rsidR="002872C0">
        <w:rPr>
          <w:rFonts w:ascii="Arial" w:hAnsi="Arial" w:hint="cs"/>
          <w:noProof w:val="0"/>
          <w:rtl/>
        </w:rPr>
        <w:t xml:space="preserve"> ובשאלות </w:t>
      </w:r>
      <w:r>
        <w:rPr>
          <w:rFonts w:ascii="Arial" w:hAnsi="Arial" w:hint="cs"/>
          <w:noProof w:val="0"/>
          <w:rtl/>
        </w:rPr>
        <w:t>עובדתיות זהות. לכן מבוקש מבית המשפט, לאפשר למבקש לעיין בתיק דנן, על מנת שלא יתנהלו הליכים סותרים ומנוגדים.</w:t>
      </w:r>
    </w:p>
    <w:p w:rsidR="00694556" w:rsidRDefault="00F5217B" w:rsidP="006955F2">
      <w:pPr>
        <w:spacing w:after="120" w:line="360" w:lineRule="auto"/>
        <w:ind w:left="567" w:hanging="567"/>
        <w:jc w:val="both"/>
        <w:rPr>
          <w:rFonts w:ascii="Arial" w:hAnsi="Arial"/>
          <w:noProof w:val="0"/>
          <w:rtl/>
        </w:rPr>
      </w:pPr>
      <w:r>
        <w:rPr>
          <w:rFonts w:ascii="Arial" w:hAnsi="Arial" w:hint="cs"/>
          <w:noProof w:val="0"/>
          <w:rtl/>
        </w:rPr>
        <w:t>4.</w:t>
      </w:r>
      <w:r>
        <w:rPr>
          <w:rFonts w:ascii="Arial" w:hAnsi="Arial"/>
          <w:noProof w:val="0"/>
          <w:rtl/>
        </w:rPr>
        <w:tab/>
      </w:r>
      <w:r w:rsidR="00CA24BA" w:rsidRPr="006E7EA1">
        <w:rPr>
          <w:rFonts w:ascii="Arial" w:hAnsi="Arial" w:hint="cs"/>
          <w:noProof w:val="0"/>
          <w:u w:val="single"/>
          <w:rtl/>
        </w:rPr>
        <w:t xml:space="preserve">המשיבה </w:t>
      </w:r>
      <w:r w:rsidR="001F18F6" w:rsidRPr="006E7EA1">
        <w:rPr>
          <w:rFonts w:ascii="Arial" w:hAnsi="Arial" w:hint="cs"/>
          <w:noProof w:val="0"/>
          <w:u w:val="single"/>
          <w:rtl/>
        </w:rPr>
        <w:t>הגיבה לבקשת המבקש ביום 4.12.24</w:t>
      </w:r>
      <w:r w:rsidR="006E7EA1" w:rsidRPr="006E7EA1">
        <w:rPr>
          <w:rFonts w:ascii="Arial" w:hAnsi="Arial" w:hint="cs"/>
          <w:noProof w:val="0"/>
          <w:u w:val="single"/>
          <w:rtl/>
        </w:rPr>
        <w:t>, במסגרתה התנגדה למבוקש, ונימקה כדלקמן</w:t>
      </w:r>
      <w:r w:rsidR="006E7EA1">
        <w:rPr>
          <w:rFonts w:ascii="Arial" w:hAnsi="Arial" w:hint="cs"/>
          <w:noProof w:val="0"/>
          <w:rtl/>
        </w:rPr>
        <w:t>:</w:t>
      </w:r>
    </w:p>
    <w:p w:rsidR="006E7EA1" w:rsidRDefault="006E7EA1" w:rsidP="006E7EA1">
      <w:pPr>
        <w:spacing w:after="120" w:line="360" w:lineRule="auto"/>
        <w:ind w:left="1134" w:hanging="567"/>
        <w:jc w:val="both"/>
        <w:rPr>
          <w:rFonts w:ascii="Arial" w:hAnsi="Arial"/>
          <w:noProof w:val="0"/>
          <w:rtl/>
        </w:rPr>
      </w:pPr>
      <w:r>
        <w:rPr>
          <w:rFonts w:ascii="Arial" w:hAnsi="Arial" w:hint="cs"/>
          <w:noProof w:val="0"/>
          <w:rtl/>
        </w:rPr>
        <w:t>א.</w:t>
      </w:r>
      <w:r>
        <w:rPr>
          <w:rFonts w:ascii="Arial" w:hAnsi="Arial"/>
          <w:noProof w:val="0"/>
          <w:rtl/>
        </w:rPr>
        <w:tab/>
      </w:r>
      <w:r>
        <w:rPr>
          <w:rFonts w:ascii="Arial" w:hAnsi="Arial" w:hint="cs"/>
          <w:noProof w:val="0"/>
          <w:rtl/>
        </w:rPr>
        <w:t xml:space="preserve">המבקש, אינו צד להליכים בתיק דנן, </w:t>
      </w:r>
      <w:r w:rsidR="00B07A6B">
        <w:rPr>
          <w:rFonts w:ascii="Arial" w:hAnsi="Arial" w:hint="cs"/>
          <w:noProof w:val="0"/>
          <w:rtl/>
        </w:rPr>
        <w:t xml:space="preserve">ולא לקח חלק בהליך. כמו כן, </w:t>
      </w:r>
      <w:r>
        <w:rPr>
          <w:rFonts w:ascii="Arial" w:hAnsi="Arial" w:hint="cs"/>
          <w:noProof w:val="0"/>
          <w:rtl/>
        </w:rPr>
        <w:t>לא פירט את עניינו לעיון במסמכים, ולא הראה טעם ענייני המצדיק מתן זכות עיון.</w:t>
      </w:r>
    </w:p>
    <w:p w:rsidR="006E7EA1" w:rsidRDefault="006E7EA1" w:rsidP="006E7EA1">
      <w:pPr>
        <w:spacing w:after="120" w:line="360" w:lineRule="auto"/>
        <w:ind w:left="1134" w:hanging="567"/>
        <w:jc w:val="both"/>
        <w:rPr>
          <w:rFonts w:ascii="Arial" w:hAnsi="Arial"/>
          <w:noProof w:val="0"/>
          <w:rtl/>
        </w:rPr>
      </w:pPr>
      <w:r>
        <w:rPr>
          <w:rFonts w:ascii="Arial" w:hAnsi="Arial" w:hint="cs"/>
          <w:noProof w:val="0"/>
          <w:rtl/>
        </w:rPr>
        <w:t>ב.</w:t>
      </w:r>
      <w:r>
        <w:rPr>
          <w:rFonts w:ascii="Arial" w:hAnsi="Arial"/>
          <w:noProof w:val="0"/>
          <w:rtl/>
        </w:rPr>
        <w:tab/>
      </w:r>
      <w:r w:rsidR="00B07A6B">
        <w:rPr>
          <w:rFonts w:ascii="Arial" w:hAnsi="Arial" w:hint="cs"/>
          <w:noProof w:val="0"/>
          <w:rtl/>
        </w:rPr>
        <w:t>המבקש יכול לפנות ישירות למשיבים הזכאים לגמלה לצורך קבלת המידע המבוקש. מן הראוי כי המבקש יפעל תחילה מכוח הזכויות המוקנות לו בחוק, ויפנה למשיבים, בטרם יטריד בעלי דין אחרים.</w:t>
      </w:r>
    </w:p>
    <w:p w:rsidR="00B07A6B" w:rsidRDefault="00B07A6B" w:rsidP="006E7EA1">
      <w:pPr>
        <w:spacing w:after="120" w:line="360" w:lineRule="auto"/>
        <w:ind w:left="1134" w:hanging="567"/>
        <w:jc w:val="both"/>
        <w:rPr>
          <w:rFonts w:ascii="Arial" w:hAnsi="Arial"/>
          <w:noProof w:val="0"/>
          <w:rtl/>
        </w:rPr>
      </w:pPr>
      <w:r>
        <w:rPr>
          <w:rFonts w:ascii="Arial" w:hAnsi="Arial" w:hint="cs"/>
          <w:noProof w:val="0"/>
          <w:rtl/>
        </w:rPr>
        <w:t>ג.</w:t>
      </w:r>
      <w:r>
        <w:rPr>
          <w:rFonts w:ascii="Arial" w:hAnsi="Arial"/>
          <w:noProof w:val="0"/>
          <w:rtl/>
        </w:rPr>
        <w:tab/>
      </w:r>
      <w:r w:rsidR="00A217A1">
        <w:rPr>
          <w:rFonts w:ascii="Arial" w:hAnsi="Arial" w:hint="cs"/>
          <w:noProof w:val="0"/>
          <w:rtl/>
        </w:rPr>
        <w:t xml:space="preserve">אין למבקש זכות קנויה לעיון בתיקי בית המשפט, ולא ברור כיצד יש בעיון המבוקש לקדם את זכות השיבוב, הנטענת והמוכחשת. לצורך הגשת תביעת שיבוב, אין צורך בעיון בתחשיבים, בפרוטוקולים ובמסמכים אחרים. הבקשה כפי שהוגשה, לא מניחה תשתית ראייתית מספקת ואינה מצדיקה </w:t>
      </w:r>
      <w:r w:rsidR="00844C1B">
        <w:rPr>
          <w:rFonts w:ascii="Arial" w:hAnsi="Arial" w:hint="cs"/>
          <w:noProof w:val="0"/>
          <w:rtl/>
        </w:rPr>
        <w:t>עיון בתיק.</w:t>
      </w:r>
    </w:p>
    <w:p w:rsidR="00844C1B" w:rsidRDefault="00844C1B" w:rsidP="006E7EA1">
      <w:pPr>
        <w:spacing w:after="120" w:line="360" w:lineRule="auto"/>
        <w:ind w:left="1134" w:hanging="567"/>
        <w:jc w:val="both"/>
        <w:rPr>
          <w:rFonts w:ascii="Arial" w:hAnsi="Arial"/>
          <w:noProof w:val="0"/>
          <w:rtl/>
        </w:rPr>
      </w:pPr>
      <w:r>
        <w:rPr>
          <w:rFonts w:ascii="Arial" w:hAnsi="Arial" w:hint="cs"/>
          <w:noProof w:val="0"/>
          <w:rtl/>
        </w:rPr>
        <w:t>ד.</w:t>
      </w:r>
      <w:r>
        <w:rPr>
          <w:rFonts w:ascii="Arial" w:hAnsi="Arial"/>
          <w:noProof w:val="0"/>
          <w:rtl/>
        </w:rPr>
        <w:tab/>
      </w:r>
      <w:r>
        <w:rPr>
          <w:rFonts w:ascii="Arial" w:hAnsi="Arial" w:hint="cs"/>
          <w:noProof w:val="0"/>
          <w:rtl/>
        </w:rPr>
        <w:t xml:space="preserve">היענות לבקשת עיון גורפת, תהווה פגיעה בפרטיות ובאינטרסים של הצדדים; הבקשה נראית כמסע דיג לאיסוף מידע, בקשה שאין לאפשר. </w:t>
      </w:r>
    </w:p>
    <w:p w:rsidR="00CA24BA" w:rsidRDefault="00CA24BA" w:rsidP="001F18F6">
      <w:pPr>
        <w:spacing w:after="120" w:line="360" w:lineRule="auto"/>
        <w:ind w:left="567" w:hanging="567"/>
        <w:jc w:val="both"/>
        <w:rPr>
          <w:rFonts w:ascii="Arial" w:hAnsi="Arial"/>
          <w:noProof w:val="0"/>
          <w:rtl/>
        </w:rPr>
      </w:pPr>
      <w:r>
        <w:rPr>
          <w:rFonts w:ascii="Arial" w:hAnsi="Arial" w:hint="cs"/>
          <w:noProof w:val="0"/>
          <w:rtl/>
        </w:rPr>
        <w:t>5.</w:t>
      </w:r>
      <w:r>
        <w:rPr>
          <w:rFonts w:ascii="Arial" w:hAnsi="Arial"/>
          <w:noProof w:val="0"/>
          <w:rtl/>
        </w:rPr>
        <w:tab/>
      </w:r>
      <w:r w:rsidR="001F18F6">
        <w:rPr>
          <w:rFonts w:ascii="Arial" w:hAnsi="Arial" w:hint="cs"/>
          <w:noProof w:val="0"/>
          <w:rtl/>
        </w:rPr>
        <w:t>ה</w:t>
      </w:r>
      <w:r>
        <w:rPr>
          <w:rFonts w:ascii="Arial" w:hAnsi="Arial" w:hint="cs"/>
          <w:noProof w:val="0"/>
          <w:rtl/>
        </w:rPr>
        <w:t>משיבים לא הגיבו לבקשת המבקש, ולכן הם נראים כמסכימים לבקשתו באופן מלא.</w:t>
      </w:r>
    </w:p>
    <w:p w:rsidR="00562008" w:rsidRDefault="00562008" w:rsidP="001F18F6">
      <w:pPr>
        <w:spacing w:after="120" w:line="360" w:lineRule="auto"/>
        <w:ind w:left="567" w:hanging="567"/>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 xml:space="preserve">בהחלטתי מיום 4.12.24, התבקשה תשובת המבקש לעמדת המשיבה. בהחלטתי מיום 15.12.24, ובהיעדר תשובת המבקש, קבעתי כי ככל שהמבקש לא ישיב עד יום 18.12.24, ייראה כזונח בקשתו ואורה על מחיקתה. </w:t>
      </w:r>
    </w:p>
    <w:p w:rsidR="00562008" w:rsidRDefault="00562008" w:rsidP="001F18F6">
      <w:pPr>
        <w:spacing w:after="12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המבקש לא השיב לעמדת המשיבה עד כה. עם זאת, לאחר עיון בבקשה ובתגובה, נחה דעתי כי יש </w:t>
      </w:r>
      <w:r w:rsidR="000F29DF">
        <w:rPr>
          <w:rFonts w:ascii="Arial" w:hAnsi="Arial" w:hint="cs"/>
          <w:noProof w:val="0"/>
          <w:rtl/>
        </w:rPr>
        <w:t>מקום להכריע בבקשה לגופם של דברים, אף מבלי להזדקק לתשובת המבקש, ולכך נפנה כעת.</w:t>
      </w:r>
    </w:p>
    <w:p w:rsidR="00DC6948" w:rsidRDefault="00DC6948" w:rsidP="001F18F6">
      <w:pPr>
        <w:spacing w:after="120" w:line="360" w:lineRule="auto"/>
        <w:ind w:left="567" w:hanging="567"/>
        <w:jc w:val="both"/>
        <w:rPr>
          <w:rFonts w:ascii="Arial" w:hAnsi="Arial"/>
          <w:noProof w:val="0"/>
          <w:rtl/>
        </w:rPr>
      </w:pPr>
    </w:p>
    <w:p w:rsidR="00DC6948" w:rsidRPr="00DC6948" w:rsidRDefault="00DC6948" w:rsidP="001F18F6">
      <w:pPr>
        <w:spacing w:after="120" w:line="360" w:lineRule="auto"/>
        <w:ind w:left="567" w:hanging="567"/>
        <w:jc w:val="both"/>
        <w:rPr>
          <w:rFonts w:ascii="Arial" w:hAnsi="Arial"/>
          <w:b/>
          <w:bCs/>
          <w:noProof w:val="0"/>
          <w:u w:val="single"/>
          <w:rtl/>
        </w:rPr>
      </w:pPr>
      <w:r w:rsidRPr="00DC6948">
        <w:rPr>
          <w:rFonts w:ascii="Arial" w:hAnsi="Arial" w:hint="cs"/>
          <w:b/>
          <w:bCs/>
          <w:noProof w:val="0"/>
          <w:u w:val="single"/>
          <w:rtl/>
        </w:rPr>
        <w:t>דיון והכרעה</w:t>
      </w:r>
    </w:p>
    <w:p w:rsidR="00A20E76" w:rsidRDefault="000F29DF" w:rsidP="000E57CC">
      <w:pPr>
        <w:spacing w:after="120" w:line="360" w:lineRule="auto"/>
        <w:ind w:left="567" w:hanging="567"/>
        <w:jc w:val="both"/>
        <w:rPr>
          <w:rFonts w:ascii="Arial" w:hAnsi="Arial"/>
          <w:noProof w:val="0"/>
          <w:rtl/>
        </w:rPr>
      </w:pPr>
      <w:r>
        <w:rPr>
          <w:rFonts w:ascii="Arial" w:hAnsi="Arial" w:hint="cs"/>
          <w:noProof w:val="0"/>
          <w:rtl/>
        </w:rPr>
        <w:t>7</w:t>
      </w:r>
      <w:r w:rsidR="002931AA">
        <w:rPr>
          <w:rFonts w:ascii="Arial" w:hAnsi="Arial" w:hint="cs"/>
          <w:noProof w:val="0"/>
          <w:rtl/>
        </w:rPr>
        <w:t>.</w:t>
      </w:r>
      <w:r w:rsidR="002931AA">
        <w:rPr>
          <w:rFonts w:ascii="Arial" w:hAnsi="Arial"/>
          <w:noProof w:val="0"/>
          <w:rtl/>
        </w:rPr>
        <w:tab/>
      </w:r>
      <w:r w:rsidR="00A20E76">
        <w:rPr>
          <w:rFonts w:ascii="Arial" w:hAnsi="Arial" w:hint="cs"/>
          <w:noProof w:val="0"/>
          <w:rtl/>
        </w:rPr>
        <w:t>המסגרת הנורמטיבית ב</w:t>
      </w:r>
      <w:r w:rsidR="00A20E76" w:rsidRPr="00A20E76">
        <w:rPr>
          <w:rFonts w:ascii="Arial" w:hAnsi="Arial"/>
          <w:noProof w:val="0"/>
          <w:rtl/>
        </w:rPr>
        <w:t>בקשה לעיון בתיק בית משפט על ידי מי שאינו צד לו</w:t>
      </w:r>
      <w:r w:rsidR="00A20E76">
        <w:rPr>
          <w:rFonts w:ascii="Arial" w:hAnsi="Arial" w:hint="cs"/>
          <w:noProof w:val="0"/>
          <w:rtl/>
        </w:rPr>
        <w:t>,</w:t>
      </w:r>
      <w:r w:rsidR="00A20E76" w:rsidRPr="00A20E76">
        <w:rPr>
          <w:rFonts w:ascii="Arial" w:hAnsi="Arial"/>
          <w:noProof w:val="0"/>
          <w:rtl/>
        </w:rPr>
        <w:t xml:space="preserve"> מוסדרת בתקנה 4 לתקנות בתי המשפט ובתי הדין לע</w:t>
      </w:r>
      <w:r w:rsidR="000E57CC">
        <w:rPr>
          <w:rFonts w:ascii="Arial" w:hAnsi="Arial"/>
          <w:noProof w:val="0"/>
          <w:rtl/>
        </w:rPr>
        <w:t>בודה (עיון בתיקים), התשס"ג-2003</w:t>
      </w:r>
      <w:r w:rsidR="000E57CC">
        <w:rPr>
          <w:rFonts w:ascii="Arial" w:hAnsi="Arial" w:hint="cs"/>
          <w:noProof w:val="0"/>
          <w:rtl/>
        </w:rPr>
        <w:t>.</w:t>
      </w:r>
    </w:p>
    <w:p w:rsidR="000E57CC" w:rsidRDefault="000E57CC" w:rsidP="00A05891">
      <w:pPr>
        <w:spacing w:after="120" w:line="360" w:lineRule="auto"/>
        <w:ind w:left="567" w:hanging="567"/>
        <w:jc w:val="both"/>
        <w:rPr>
          <w:rFonts w:ascii="Arial" w:hAnsi="Arial"/>
          <w:noProof w:val="0"/>
          <w:rtl/>
        </w:rPr>
      </w:pPr>
    </w:p>
    <w:p w:rsidR="00A05891" w:rsidRDefault="00A05891" w:rsidP="00A05891">
      <w:pPr>
        <w:spacing w:after="120" w:line="360" w:lineRule="auto"/>
        <w:ind w:left="567" w:hanging="567"/>
        <w:jc w:val="both"/>
        <w:rPr>
          <w:rFonts w:ascii="Arial" w:hAnsi="Arial"/>
          <w:noProof w:val="0"/>
          <w:rtl/>
        </w:rPr>
      </w:pPr>
      <w:r>
        <w:rPr>
          <w:rFonts w:ascii="Arial" w:hAnsi="Arial"/>
          <w:noProof w:val="0"/>
          <w:rtl/>
        </w:rPr>
        <w:lastRenderedPageBreak/>
        <w:tab/>
      </w:r>
      <w:r w:rsidRPr="00A05891">
        <w:rPr>
          <w:rFonts w:ascii="Arial" w:hAnsi="Arial" w:hint="cs"/>
          <w:noProof w:val="0"/>
          <w:u w:val="single"/>
          <w:rtl/>
        </w:rPr>
        <w:t xml:space="preserve">יפים לענייננו הדברים שכתבה כב' השופטת גילה כנפי שטייניץ, ב- </w:t>
      </w:r>
      <w:r w:rsidRPr="00A05891">
        <w:rPr>
          <w:rFonts w:ascii="Arial" w:hAnsi="Arial"/>
          <w:noProof w:val="0"/>
          <w:u w:val="single"/>
          <w:rtl/>
        </w:rPr>
        <w:t>רע</w:t>
      </w:r>
      <w:r w:rsidR="00C80496">
        <w:rPr>
          <w:rFonts w:ascii="Arial" w:hAnsi="Arial" w:hint="cs"/>
          <w:noProof w:val="0"/>
          <w:u w:val="single"/>
          <w:rtl/>
        </w:rPr>
        <w:t>"</w:t>
      </w:r>
      <w:r w:rsidRPr="00A05891">
        <w:rPr>
          <w:rFonts w:ascii="Arial" w:hAnsi="Arial"/>
          <w:noProof w:val="0"/>
          <w:u w:val="single"/>
          <w:rtl/>
        </w:rPr>
        <w:t xml:space="preserve">א 79276-09-24 </w:t>
      </w:r>
      <w:r w:rsidRPr="00A05891">
        <w:rPr>
          <w:rFonts w:ascii="Arial" w:hAnsi="Arial"/>
          <w:b/>
          <w:bCs/>
          <w:noProof w:val="0"/>
          <w:u w:val="single"/>
          <w:rtl/>
        </w:rPr>
        <w:t>ג'יימס</w:t>
      </w:r>
      <w:r w:rsidRPr="00A05891">
        <w:rPr>
          <w:rFonts w:ascii="Arial" w:hAnsi="Arial" w:hint="cs"/>
          <w:b/>
          <w:bCs/>
          <w:noProof w:val="0"/>
          <w:u w:val="single"/>
          <w:rtl/>
        </w:rPr>
        <w:t xml:space="preserve"> </w:t>
      </w:r>
      <w:r w:rsidRPr="00A05891">
        <w:rPr>
          <w:rFonts w:ascii="Arial" w:hAnsi="Arial"/>
          <w:b/>
          <w:bCs/>
          <w:noProof w:val="0"/>
          <w:u w:val="single"/>
          <w:rtl/>
        </w:rPr>
        <w:t xml:space="preserve">ריצ'רדסון פרופיאטרי לימיטד נ' </w:t>
      </w:r>
      <w:r w:rsidRPr="00A05891">
        <w:rPr>
          <w:rFonts w:ascii="Arial" w:hAnsi="Arial"/>
          <w:b/>
          <w:bCs/>
          <w:noProof w:val="0"/>
          <w:u w:val="single"/>
        </w:rPr>
        <w:t>Duty Free Americas, INC 2. Ueta Texas INC</w:t>
      </w:r>
      <w:r w:rsidRPr="00A05891">
        <w:rPr>
          <w:rFonts w:ascii="Arial" w:hAnsi="Arial" w:hint="cs"/>
          <w:b/>
          <w:bCs/>
          <w:noProof w:val="0"/>
          <w:u w:val="single"/>
          <w:rtl/>
        </w:rPr>
        <w:t xml:space="preserve"> </w:t>
      </w:r>
      <w:r w:rsidRPr="00A05891">
        <w:rPr>
          <w:rFonts w:ascii="Arial" w:hAnsi="Arial" w:hint="cs"/>
          <w:noProof w:val="0"/>
          <w:u w:val="single"/>
          <w:rtl/>
        </w:rPr>
        <w:t>(12.11.2024), פסקה 10</w:t>
      </w:r>
      <w:r w:rsidR="0054112E">
        <w:rPr>
          <w:rFonts w:ascii="Arial" w:hAnsi="Arial" w:hint="cs"/>
          <w:noProof w:val="0"/>
          <w:rtl/>
        </w:rPr>
        <w:t xml:space="preserve"> </w:t>
      </w:r>
      <w:r w:rsidR="00E1682C">
        <w:rPr>
          <w:rFonts w:ascii="Arial" w:hAnsi="Arial" w:hint="cs"/>
          <w:noProof w:val="0"/>
          <w:rtl/>
        </w:rPr>
        <w:t>(להלן: "</w:t>
      </w:r>
      <w:r w:rsidR="00E1682C" w:rsidRPr="00E1682C">
        <w:rPr>
          <w:rFonts w:ascii="Arial" w:hAnsi="Arial" w:hint="cs"/>
          <w:b/>
          <w:bCs/>
          <w:noProof w:val="0"/>
          <w:rtl/>
        </w:rPr>
        <w:t>עניין ג'יימס ריצ'רדסון</w:t>
      </w:r>
      <w:r w:rsidR="00E1682C">
        <w:rPr>
          <w:rFonts w:ascii="Arial" w:hAnsi="Arial" w:hint="cs"/>
          <w:noProof w:val="0"/>
          <w:rtl/>
        </w:rPr>
        <w:t>")</w:t>
      </w:r>
      <w:r>
        <w:rPr>
          <w:rFonts w:ascii="Arial" w:hAnsi="Arial" w:hint="cs"/>
          <w:noProof w:val="0"/>
          <w:rtl/>
        </w:rPr>
        <w:t>:</w:t>
      </w:r>
    </w:p>
    <w:p w:rsidR="00A20E76" w:rsidRDefault="00A05891" w:rsidP="00A05891">
      <w:pPr>
        <w:spacing w:after="120" w:line="360" w:lineRule="auto"/>
        <w:ind w:left="1134" w:right="1134" w:hanging="1134"/>
        <w:jc w:val="both"/>
        <w:rPr>
          <w:rFonts w:ascii="Arial" w:hAnsi="Arial"/>
          <w:noProof w:val="0"/>
          <w:rtl/>
        </w:rPr>
      </w:pPr>
      <w:r>
        <w:rPr>
          <w:rFonts w:ascii="Arial" w:hAnsi="Arial"/>
          <w:noProof w:val="0"/>
          <w:rtl/>
        </w:rPr>
        <w:tab/>
      </w:r>
      <w:r>
        <w:rPr>
          <w:rFonts w:ascii="Arial" w:hAnsi="Arial" w:hint="cs"/>
          <w:noProof w:val="0"/>
          <w:rtl/>
        </w:rPr>
        <w:t>"</w:t>
      </w:r>
      <w:r w:rsidR="00893189" w:rsidRPr="00A05891">
        <w:rPr>
          <w:rFonts w:ascii="Arial" w:hAnsi="Arial"/>
          <w:b/>
          <w:bCs/>
          <w:noProof w:val="0"/>
          <w:rtl/>
        </w:rPr>
        <w:t>המסגרת הנורמטיבית לבחינת בקשה לעיון בתיק בית משפט של מי שאינו בעל דין, מצויה בתקנה 4 לתקנות העיון. תקנה זו מתווה מבחן תלת-שלבי לבחינה כאמור: בשלב הראשון, נבחן האם קיים איסור שבדין לעיון בחומר המבוקש. בשלב השני, ובהנחה שאין איסור שכזה, יש לבחון האם יש לאפשר העיון. בהקשר זה פירשה הפסיקה את זכות העיון בהרחבה, תוך שקבעה כי על רקע ההכרה במעמדו של עיקרון פומביות הדיון נקודת המוצא היא כי יש להיעתר לבקשת העיון (רע"א 943/15 קליין נ' בנק דיסקונט לישראל בע"מ, פסקה 11 [נבו] (23.6.2015) (להלן: עניין קליין). לצד זאת, ככל זכות אחרת, מדובר בזכות שאיננה מוחלטת, ויש לאזנה אל מול זכויות ואינטרסים העשויים להיפגע ממתן רשות העיון (רע"א 9237/23 רוגוזניצקי נ' מדינת ישראל, פסקה 13 [נבו] (4.3.2024) (להלן: עניין רוגוזניצקי); עניין שפיר, בפסקה 16). על מנת לשמור על איזון כאמור, נדרש בית המשפט לשלב השלישי, בו יש לבחון כיצד ניתן להגשים את מטרות העיון תוך פגיעה מידתית ככל הניתן בזכויותיהם של בעלי הדין, בצדדים שלישיים ובאינטרס הציבורי</w:t>
      </w:r>
      <w:r>
        <w:rPr>
          <w:rFonts w:ascii="Arial" w:hAnsi="Arial" w:hint="cs"/>
          <w:noProof w:val="0"/>
          <w:rtl/>
        </w:rPr>
        <w:t>".</w:t>
      </w:r>
    </w:p>
    <w:p w:rsidR="00893189" w:rsidRPr="00A05891" w:rsidRDefault="00893189" w:rsidP="00A20E76">
      <w:pPr>
        <w:spacing w:after="120" w:line="360" w:lineRule="auto"/>
        <w:ind w:left="567" w:hanging="567"/>
        <w:jc w:val="both"/>
        <w:rPr>
          <w:rFonts w:ascii="Arial" w:hAnsi="Arial"/>
          <w:noProof w:val="0"/>
          <w:rtl/>
        </w:rPr>
      </w:pPr>
      <w:r>
        <w:rPr>
          <w:rFonts w:ascii="Arial" w:hAnsi="Arial"/>
          <w:noProof w:val="0"/>
          <w:rtl/>
        </w:rPr>
        <w:tab/>
      </w:r>
      <w:r w:rsidRPr="00893189">
        <w:rPr>
          <w:rFonts w:ascii="Arial" w:hAnsi="Arial" w:hint="cs"/>
          <w:noProof w:val="0"/>
          <w:u w:val="single"/>
          <w:rtl/>
        </w:rPr>
        <w:t xml:space="preserve">ראו </w:t>
      </w:r>
      <w:r w:rsidR="00A05891">
        <w:rPr>
          <w:rFonts w:ascii="Arial" w:hAnsi="Arial" w:hint="cs"/>
          <w:noProof w:val="0"/>
          <w:u w:val="single"/>
          <w:rtl/>
        </w:rPr>
        <w:t xml:space="preserve">עוד </w:t>
      </w:r>
      <w:r w:rsidRPr="00893189">
        <w:rPr>
          <w:rFonts w:ascii="Arial" w:hAnsi="Arial" w:hint="cs"/>
          <w:noProof w:val="0"/>
          <w:u w:val="single"/>
          <w:rtl/>
        </w:rPr>
        <w:t>לעניין זה</w:t>
      </w:r>
      <w:r>
        <w:rPr>
          <w:rFonts w:ascii="Arial" w:hAnsi="Arial" w:hint="cs"/>
          <w:noProof w:val="0"/>
          <w:rtl/>
        </w:rPr>
        <w:t>:</w:t>
      </w:r>
    </w:p>
    <w:p w:rsidR="00A05891" w:rsidRPr="00A05891" w:rsidRDefault="00A05891" w:rsidP="00A20E76">
      <w:pPr>
        <w:spacing w:after="120" w:line="360" w:lineRule="auto"/>
        <w:ind w:left="567" w:hanging="567"/>
        <w:jc w:val="both"/>
        <w:rPr>
          <w:rFonts w:ascii="Arial" w:hAnsi="Arial"/>
          <w:noProof w:val="0"/>
          <w:rtl/>
        </w:rPr>
      </w:pPr>
      <w:r w:rsidRPr="00A05891">
        <w:rPr>
          <w:rFonts w:ascii="Arial" w:hAnsi="Arial"/>
          <w:noProof w:val="0"/>
          <w:rtl/>
        </w:rPr>
        <w:tab/>
      </w:r>
      <w:r>
        <w:rPr>
          <w:rFonts w:ascii="Arial" w:hAnsi="Arial"/>
          <w:noProof w:val="0"/>
          <w:rtl/>
        </w:rPr>
        <w:t>ת</w:t>
      </w:r>
      <w:r>
        <w:rPr>
          <w:rFonts w:ascii="Arial" w:hAnsi="Arial" w:hint="cs"/>
          <w:noProof w:val="0"/>
          <w:rtl/>
        </w:rPr>
        <w:t>"</w:t>
      </w:r>
      <w:r>
        <w:rPr>
          <w:rFonts w:ascii="Arial" w:hAnsi="Arial"/>
          <w:noProof w:val="0"/>
          <w:rtl/>
        </w:rPr>
        <w:t xml:space="preserve">א (ת"א) 34769-03-23 </w:t>
      </w:r>
      <w:r w:rsidRPr="00A05891">
        <w:rPr>
          <w:rFonts w:ascii="Arial" w:hAnsi="Arial"/>
          <w:b/>
          <w:bCs/>
          <w:noProof w:val="0"/>
          <w:rtl/>
        </w:rPr>
        <w:t>דרור עצמון נ' ברוך ידיד</w:t>
      </w:r>
      <w:r>
        <w:rPr>
          <w:rFonts w:ascii="Arial" w:hAnsi="Arial" w:hint="cs"/>
          <w:noProof w:val="0"/>
          <w:rtl/>
        </w:rPr>
        <w:t xml:space="preserve"> (15.12.2024</w:t>
      </w:r>
      <w:r w:rsidR="00E1682C">
        <w:rPr>
          <w:rFonts w:ascii="Arial" w:hAnsi="Arial" w:hint="cs"/>
          <w:noProof w:val="0"/>
          <w:rtl/>
        </w:rPr>
        <w:t xml:space="preserve"> </w:t>
      </w:r>
      <w:r w:rsidR="00E1682C">
        <w:rPr>
          <w:rFonts w:ascii="Arial" w:hAnsi="Arial"/>
          <w:noProof w:val="0"/>
          <w:rtl/>
        </w:rPr>
        <w:t>–</w:t>
      </w:r>
      <w:r w:rsidR="00E1682C">
        <w:rPr>
          <w:rFonts w:ascii="Arial" w:hAnsi="Arial" w:hint="cs"/>
          <w:noProof w:val="0"/>
          <w:rtl/>
        </w:rPr>
        <w:t xml:space="preserve"> להלן: "</w:t>
      </w:r>
      <w:r w:rsidR="00E1682C" w:rsidRPr="00E1682C">
        <w:rPr>
          <w:rFonts w:ascii="Arial" w:hAnsi="Arial" w:hint="cs"/>
          <w:b/>
          <w:bCs/>
          <w:noProof w:val="0"/>
          <w:rtl/>
        </w:rPr>
        <w:t>עניין עצמון</w:t>
      </w:r>
      <w:r w:rsidR="00E1682C">
        <w:rPr>
          <w:rFonts w:ascii="Arial" w:hAnsi="Arial" w:hint="cs"/>
          <w:noProof w:val="0"/>
          <w:rtl/>
        </w:rPr>
        <w:t>"</w:t>
      </w:r>
      <w:r>
        <w:rPr>
          <w:rFonts w:ascii="Arial" w:hAnsi="Arial" w:hint="cs"/>
          <w:noProof w:val="0"/>
          <w:rtl/>
        </w:rPr>
        <w:t>);</w:t>
      </w:r>
    </w:p>
    <w:p w:rsidR="00A05891" w:rsidRDefault="00893189" w:rsidP="00562008">
      <w:pPr>
        <w:spacing w:after="120" w:line="360" w:lineRule="auto"/>
        <w:ind w:left="567" w:hanging="567"/>
        <w:jc w:val="both"/>
        <w:rPr>
          <w:rFonts w:ascii="Arial" w:hAnsi="Arial"/>
          <w:noProof w:val="0"/>
          <w:rtl/>
        </w:rPr>
      </w:pPr>
      <w:r>
        <w:rPr>
          <w:rFonts w:ascii="Arial" w:hAnsi="Arial"/>
          <w:noProof w:val="0"/>
          <w:rtl/>
        </w:rPr>
        <w:tab/>
      </w:r>
      <w:r w:rsidR="00A05891" w:rsidRPr="00A05891">
        <w:rPr>
          <w:rFonts w:ascii="Arial" w:hAnsi="Arial"/>
          <w:noProof w:val="0"/>
          <w:rtl/>
        </w:rPr>
        <w:t>ת</w:t>
      </w:r>
      <w:r w:rsidR="00A05891">
        <w:rPr>
          <w:rFonts w:ascii="Arial" w:hAnsi="Arial" w:hint="cs"/>
          <w:noProof w:val="0"/>
          <w:rtl/>
        </w:rPr>
        <w:t>"</w:t>
      </w:r>
      <w:r w:rsidR="00A05891" w:rsidRPr="00A05891">
        <w:rPr>
          <w:rFonts w:ascii="Arial" w:hAnsi="Arial"/>
          <w:noProof w:val="0"/>
          <w:rtl/>
        </w:rPr>
        <w:t xml:space="preserve">א (ת"א) 24319-09-23 </w:t>
      </w:r>
      <w:r w:rsidR="00A05891" w:rsidRPr="00A05891">
        <w:rPr>
          <w:rFonts w:ascii="Arial" w:hAnsi="Arial"/>
          <w:b/>
          <w:bCs/>
          <w:noProof w:val="0"/>
          <w:rtl/>
        </w:rPr>
        <w:t>רות הררי נ' אלון מקל</w:t>
      </w:r>
      <w:r w:rsidR="00A05891">
        <w:rPr>
          <w:rFonts w:ascii="Arial" w:hAnsi="Arial" w:hint="cs"/>
          <w:noProof w:val="0"/>
          <w:rtl/>
        </w:rPr>
        <w:t xml:space="preserve"> (2.12.2024</w:t>
      </w:r>
      <w:r w:rsidR="00562008">
        <w:rPr>
          <w:rFonts w:ascii="Arial" w:hAnsi="Arial" w:hint="cs"/>
          <w:noProof w:val="0"/>
          <w:rtl/>
        </w:rPr>
        <w:t xml:space="preserve"> </w:t>
      </w:r>
      <w:r w:rsidR="00562008">
        <w:rPr>
          <w:rFonts w:ascii="Arial" w:hAnsi="Arial"/>
          <w:noProof w:val="0"/>
          <w:rtl/>
        </w:rPr>
        <w:t>–</w:t>
      </w:r>
      <w:r w:rsidR="00562008">
        <w:rPr>
          <w:rFonts w:ascii="Arial" w:hAnsi="Arial" w:hint="cs"/>
          <w:noProof w:val="0"/>
          <w:rtl/>
        </w:rPr>
        <w:t xml:space="preserve"> להלן: "</w:t>
      </w:r>
      <w:r w:rsidR="00562008" w:rsidRPr="00562008">
        <w:rPr>
          <w:rFonts w:ascii="Arial" w:hAnsi="Arial" w:hint="cs"/>
          <w:b/>
          <w:bCs/>
          <w:noProof w:val="0"/>
          <w:rtl/>
        </w:rPr>
        <w:t>עניין הררי</w:t>
      </w:r>
      <w:r w:rsidR="00562008">
        <w:rPr>
          <w:rFonts w:ascii="Arial" w:hAnsi="Arial" w:hint="cs"/>
          <w:noProof w:val="0"/>
          <w:rtl/>
        </w:rPr>
        <w:t>"</w:t>
      </w:r>
      <w:r w:rsidR="00A05891">
        <w:rPr>
          <w:rFonts w:ascii="Arial" w:hAnsi="Arial" w:hint="cs"/>
          <w:noProof w:val="0"/>
          <w:rtl/>
        </w:rPr>
        <w:t>).</w:t>
      </w:r>
      <w:r w:rsidR="00A05891">
        <w:rPr>
          <w:rFonts w:ascii="Arial" w:hAnsi="Arial"/>
          <w:noProof w:val="0"/>
          <w:rtl/>
        </w:rPr>
        <w:tab/>
      </w:r>
    </w:p>
    <w:p w:rsidR="00A20E76" w:rsidRDefault="000F29DF" w:rsidP="004C1D4E">
      <w:pPr>
        <w:spacing w:after="120" w:line="360" w:lineRule="auto"/>
        <w:ind w:left="567" w:hanging="567"/>
        <w:jc w:val="both"/>
        <w:rPr>
          <w:rFonts w:ascii="Arial" w:hAnsi="Arial"/>
          <w:noProof w:val="0"/>
          <w:rtl/>
        </w:rPr>
      </w:pPr>
      <w:r>
        <w:rPr>
          <w:rFonts w:ascii="Arial" w:hAnsi="Arial" w:hint="cs"/>
          <w:noProof w:val="0"/>
          <w:rtl/>
        </w:rPr>
        <w:t>8</w:t>
      </w:r>
      <w:r w:rsidR="00A20E76">
        <w:rPr>
          <w:rFonts w:ascii="Arial" w:hAnsi="Arial" w:hint="cs"/>
          <w:noProof w:val="0"/>
          <w:rtl/>
        </w:rPr>
        <w:t>.</w:t>
      </w:r>
      <w:r w:rsidR="00A20E76">
        <w:rPr>
          <w:rFonts w:ascii="Arial" w:hAnsi="Arial"/>
          <w:noProof w:val="0"/>
          <w:rtl/>
        </w:rPr>
        <w:tab/>
      </w:r>
      <w:r w:rsidR="00562008" w:rsidRPr="00EC3279">
        <w:rPr>
          <w:rFonts w:ascii="Arial" w:hAnsi="Arial" w:hint="cs"/>
          <w:b/>
          <w:bCs/>
          <w:noProof w:val="0"/>
          <w:rtl/>
        </w:rPr>
        <w:t>יישום הדברים בענייננו, מ</w:t>
      </w:r>
      <w:r w:rsidR="00D34E40" w:rsidRPr="00EC3279">
        <w:rPr>
          <w:rFonts w:ascii="Arial" w:hAnsi="Arial" w:hint="cs"/>
          <w:b/>
          <w:bCs/>
          <w:noProof w:val="0"/>
          <w:rtl/>
        </w:rPr>
        <w:t>ובילנו למסקנה כי יש להיעתר לבקשת העיון, אף אם באופן מוגבל בזמן, כפי שאנמק להלן</w:t>
      </w:r>
      <w:r w:rsidR="00D34E40">
        <w:rPr>
          <w:rFonts w:ascii="Arial" w:hAnsi="Arial" w:hint="cs"/>
          <w:noProof w:val="0"/>
          <w:rtl/>
        </w:rPr>
        <w:t>.</w:t>
      </w:r>
    </w:p>
    <w:p w:rsidR="00D22F25" w:rsidRDefault="00D34E40" w:rsidP="00DF5460">
      <w:pPr>
        <w:spacing w:after="120" w:line="360" w:lineRule="auto"/>
        <w:ind w:left="567" w:hanging="567"/>
        <w:jc w:val="both"/>
        <w:rPr>
          <w:rFonts w:ascii="Arial" w:hAnsi="Arial"/>
          <w:noProof w:val="0"/>
          <w:rtl/>
        </w:rPr>
      </w:pPr>
      <w:r>
        <w:rPr>
          <w:rFonts w:ascii="Arial" w:hAnsi="Arial" w:hint="cs"/>
          <w:noProof w:val="0"/>
          <w:rtl/>
        </w:rPr>
        <w:t>9.</w:t>
      </w:r>
      <w:r>
        <w:rPr>
          <w:rFonts w:ascii="Arial" w:hAnsi="Arial"/>
          <w:noProof w:val="0"/>
          <w:rtl/>
        </w:rPr>
        <w:tab/>
      </w:r>
      <w:r w:rsidR="003D1D3B">
        <w:rPr>
          <w:rFonts w:ascii="Arial" w:hAnsi="Arial" w:hint="cs"/>
          <w:noProof w:val="0"/>
          <w:rtl/>
        </w:rPr>
        <w:t>לא מצאתי כי קיים איסור שבדין לעיון בחומר המבוקש, ואף לא נטען</w:t>
      </w:r>
      <w:r w:rsidR="00D22F25">
        <w:rPr>
          <w:rFonts w:ascii="Arial" w:hAnsi="Arial" w:hint="cs"/>
          <w:noProof w:val="0"/>
          <w:rtl/>
        </w:rPr>
        <w:t xml:space="preserve"> כך. </w:t>
      </w:r>
      <w:r w:rsidR="00DF5460">
        <w:rPr>
          <w:rFonts w:ascii="Arial" w:hAnsi="Arial" w:hint="cs"/>
          <w:noProof w:val="0"/>
          <w:rtl/>
        </w:rPr>
        <w:t>בכך ניתן משקל ל</w:t>
      </w:r>
      <w:r w:rsidR="00DF5460" w:rsidRPr="00DF5460">
        <w:rPr>
          <w:rFonts w:ascii="Arial" w:hAnsi="Arial"/>
          <w:noProof w:val="0"/>
          <w:rtl/>
        </w:rPr>
        <w:t>הכרה</w:t>
      </w:r>
      <w:r w:rsidR="00DF5460">
        <w:rPr>
          <w:rFonts w:ascii="Arial" w:hAnsi="Arial"/>
          <w:noProof w:val="0"/>
          <w:rtl/>
        </w:rPr>
        <w:t xml:space="preserve"> במעמדו של עיקרון פומביות הדיון</w:t>
      </w:r>
      <w:r w:rsidR="00DF5460">
        <w:rPr>
          <w:rFonts w:ascii="Arial" w:hAnsi="Arial" w:hint="cs"/>
          <w:noProof w:val="0"/>
          <w:rtl/>
        </w:rPr>
        <w:t>, ו</w:t>
      </w:r>
      <w:r w:rsidR="00DF5460" w:rsidRPr="00DF5460">
        <w:rPr>
          <w:rFonts w:ascii="Arial" w:hAnsi="Arial"/>
          <w:noProof w:val="0"/>
          <w:rtl/>
        </w:rPr>
        <w:t>נקודת המוצא היא כי יש להיעתר לבקשת העיון</w:t>
      </w:r>
      <w:r w:rsidR="00DF5460">
        <w:rPr>
          <w:rFonts w:ascii="Arial" w:hAnsi="Arial" w:hint="cs"/>
          <w:noProof w:val="0"/>
          <w:rtl/>
        </w:rPr>
        <w:t xml:space="preserve"> (</w:t>
      </w:r>
      <w:r w:rsidR="00DF5460" w:rsidRPr="00E1682C">
        <w:rPr>
          <w:rFonts w:ascii="Arial" w:hAnsi="Arial" w:hint="cs"/>
          <w:b/>
          <w:bCs/>
          <w:noProof w:val="0"/>
          <w:rtl/>
        </w:rPr>
        <w:t>עניין</w:t>
      </w:r>
      <w:r w:rsidR="00DF5460">
        <w:rPr>
          <w:rFonts w:ascii="Arial" w:hAnsi="Arial" w:hint="cs"/>
          <w:noProof w:val="0"/>
          <w:rtl/>
        </w:rPr>
        <w:t xml:space="preserve"> </w:t>
      </w:r>
      <w:r w:rsidR="00DF5460" w:rsidRPr="00E1682C">
        <w:rPr>
          <w:rFonts w:ascii="Arial" w:hAnsi="Arial" w:hint="cs"/>
          <w:b/>
          <w:bCs/>
          <w:noProof w:val="0"/>
          <w:rtl/>
        </w:rPr>
        <w:t>ג'יימס ריצ'רדסון</w:t>
      </w:r>
      <w:r w:rsidR="00DF5460">
        <w:rPr>
          <w:rFonts w:ascii="Arial" w:hAnsi="Arial" w:hint="cs"/>
          <w:noProof w:val="0"/>
          <w:rtl/>
        </w:rPr>
        <w:t>).</w:t>
      </w:r>
    </w:p>
    <w:p w:rsidR="00D34E40" w:rsidRDefault="00D22F25" w:rsidP="00727418">
      <w:pPr>
        <w:spacing w:after="120" w:line="360" w:lineRule="auto"/>
        <w:ind w:left="567" w:hanging="567"/>
        <w:jc w:val="both"/>
        <w:rPr>
          <w:rFonts w:ascii="Arial" w:hAnsi="Arial"/>
          <w:noProof w:val="0"/>
          <w:rtl/>
        </w:rPr>
      </w:pPr>
      <w:r>
        <w:rPr>
          <w:rFonts w:ascii="Arial" w:hAnsi="Arial"/>
          <w:noProof w:val="0"/>
          <w:rtl/>
        </w:rPr>
        <w:tab/>
      </w:r>
      <w:r w:rsidR="00D34E40">
        <w:rPr>
          <w:rFonts w:ascii="Arial" w:hAnsi="Arial" w:hint="cs"/>
          <w:noProof w:val="0"/>
          <w:rtl/>
        </w:rPr>
        <w:t xml:space="preserve">נימק המבקש בבקשתו, כי העיון בתיק דנן דרוש לו על מנת לנהל דיון משפטי בתיק אחר, תביעת השיבוב. טעם זה מקים אינטרס לגיטימי לעיון בתיק דנן, אף מבלי להידרש לתועלת אותה יפיק </w:t>
      </w:r>
      <w:r w:rsidR="00727418">
        <w:rPr>
          <w:rFonts w:ascii="Arial" w:hAnsi="Arial" w:hint="cs"/>
          <w:noProof w:val="0"/>
          <w:rtl/>
        </w:rPr>
        <w:t xml:space="preserve">מתוצאות </w:t>
      </w:r>
      <w:r w:rsidR="00D34E40">
        <w:rPr>
          <w:rFonts w:ascii="Arial" w:hAnsi="Arial" w:hint="cs"/>
          <w:noProof w:val="0"/>
          <w:rtl/>
        </w:rPr>
        <w:t>העיון (</w:t>
      </w:r>
      <w:r w:rsidR="00D34E40" w:rsidRPr="00D34E40">
        <w:rPr>
          <w:rFonts w:ascii="Arial" w:hAnsi="Arial" w:hint="cs"/>
          <w:b/>
          <w:bCs/>
          <w:noProof w:val="0"/>
          <w:rtl/>
        </w:rPr>
        <w:t>עניין הררי</w:t>
      </w:r>
      <w:r w:rsidR="00D34E40">
        <w:rPr>
          <w:rFonts w:ascii="Arial" w:hAnsi="Arial" w:hint="cs"/>
          <w:noProof w:val="0"/>
          <w:rtl/>
        </w:rPr>
        <w:t xml:space="preserve">, פסקה 6). </w:t>
      </w:r>
    </w:p>
    <w:p w:rsidR="00D22F25" w:rsidRDefault="00D22F25" w:rsidP="00727418">
      <w:pPr>
        <w:spacing w:after="120" w:line="360" w:lineRule="auto"/>
        <w:ind w:left="567" w:hanging="567"/>
        <w:jc w:val="both"/>
        <w:rPr>
          <w:rFonts w:ascii="Arial" w:hAnsi="Arial"/>
          <w:noProof w:val="0"/>
          <w:rtl/>
        </w:rPr>
      </w:pPr>
      <w:r>
        <w:rPr>
          <w:rFonts w:ascii="Arial" w:hAnsi="Arial" w:hint="cs"/>
          <w:noProof w:val="0"/>
          <w:rtl/>
        </w:rPr>
        <w:t>10.</w:t>
      </w:r>
      <w:r>
        <w:rPr>
          <w:rFonts w:ascii="Arial" w:hAnsi="Arial"/>
          <w:noProof w:val="0"/>
          <w:rtl/>
        </w:rPr>
        <w:tab/>
      </w:r>
      <w:r w:rsidR="00062726">
        <w:rPr>
          <w:rFonts w:ascii="Arial" w:hAnsi="Arial" w:hint="cs"/>
          <w:noProof w:val="0"/>
          <w:rtl/>
        </w:rPr>
        <w:t>נטל השכנוע מוטל על המתנגד לעיון, היא המשיבה. היה עליה לפרט מהו הנזק הקונקרטי שעלול להיגרם לה כתוצאה מהעיון</w:t>
      </w:r>
      <w:r w:rsidR="0054112E">
        <w:rPr>
          <w:rFonts w:ascii="Arial" w:hAnsi="Arial" w:hint="cs"/>
          <w:noProof w:val="0"/>
          <w:rtl/>
        </w:rPr>
        <w:t xml:space="preserve"> (</w:t>
      </w:r>
      <w:r w:rsidR="0054112E" w:rsidRPr="00E1682C">
        <w:rPr>
          <w:rFonts w:ascii="Arial" w:hAnsi="Arial" w:hint="cs"/>
          <w:b/>
          <w:bCs/>
          <w:noProof w:val="0"/>
          <w:rtl/>
        </w:rPr>
        <w:t>עניין</w:t>
      </w:r>
      <w:r w:rsidR="0054112E">
        <w:rPr>
          <w:rFonts w:ascii="Arial" w:hAnsi="Arial" w:hint="cs"/>
          <w:noProof w:val="0"/>
          <w:rtl/>
        </w:rPr>
        <w:t xml:space="preserve"> </w:t>
      </w:r>
      <w:r w:rsidR="0054112E" w:rsidRPr="00E1682C">
        <w:rPr>
          <w:rFonts w:ascii="Arial" w:hAnsi="Arial" w:hint="cs"/>
          <w:b/>
          <w:bCs/>
          <w:noProof w:val="0"/>
          <w:rtl/>
        </w:rPr>
        <w:t>ג'יימס ריצ'רדסון</w:t>
      </w:r>
      <w:r w:rsidR="0054112E">
        <w:rPr>
          <w:rFonts w:ascii="Arial" w:hAnsi="Arial" w:hint="cs"/>
          <w:noProof w:val="0"/>
          <w:rtl/>
        </w:rPr>
        <w:t xml:space="preserve"> פסקה </w:t>
      </w:r>
      <w:r w:rsidR="00E1682C">
        <w:rPr>
          <w:rFonts w:ascii="Arial" w:hAnsi="Arial" w:hint="cs"/>
          <w:noProof w:val="0"/>
          <w:rtl/>
        </w:rPr>
        <w:t>11</w:t>
      </w:r>
      <w:r w:rsidR="0054112E">
        <w:rPr>
          <w:rFonts w:ascii="Arial" w:hAnsi="Arial" w:hint="cs"/>
          <w:noProof w:val="0"/>
          <w:rtl/>
        </w:rPr>
        <w:t xml:space="preserve">; </w:t>
      </w:r>
      <w:r w:rsidR="0054112E" w:rsidRPr="00E1682C">
        <w:rPr>
          <w:rFonts w:ascii="Arial" w:hAnsi="Arial" w:hint="cs"/>
          <w:b/>
          <w:bCs/>
          <w:noProof w:val="0"/>
          <w:rtl/>
        </w:rPr>
        <w:t>עניין</w:t>
      </w:r>
      <w:r w:rsidR="0054112E">
        <w:rPr>
          <w:rFonts w:ascii="Arial" w:hAnsi="Arial" w:hint="cs"/>
          <w:noProof w:val="0"/>
          <w:rtl/>
        </w:rPr>
        <w:t xml:space="preserve"> </w:t>
      </w:r>
      <w:r w:rsidR="00E1682C">
        <w:rPr>
          <w:rFonts w:ascii="Arial" w:hAnsi="Arial" w:hint="cs"/>
          <w:b/>
          <w:bCs/>
          <w:noProof w:val="0"/>
          <w:rtl/>
        </w:rPr>
        <w:t>עצמון</w:t>
      </w:r>
      <w:r w:rsidR="0054112E">
        <w:rPr>
          <w:rFonts w:ascii="Arial" w:hAnsi="Arial" w:hint="cs"/>
          <w:noProof w:val="0"/>
          <w:rtl/>
        </w:rPr>
        <w:t xml:space="preserve">). </w:t>
      </w:r>
      <w:r w:rsidR="00062726">
        <w:rPr>
          <w:rFonts w:ascii="Arial" w:hAnsi="Arial" w:hint="cs"/>
          <w:noProof w:val="0"/>
          <w:rtl/>
        </w:rPr>
        <w:t xml:space="preserve">ולא להסתפק בטענות כלליות </w:t>
      </w:r>
      <w:r w:rsidR="007733CE">
        <w:rPr>
          <w:rFonts w:ascii="Arial" w:hAnsi="Arial" w:hint="cs"/>
          <w:noProof w:val="0"/>
          <w:rtl/>
        </w:rPr>
        <w:t>ועמומות</w:t>
      </w:r>
      <w:r w:rsidR="00062726">
        <w:rPr>
          <w:rFonts w:ascii="Arial" w:hAnsi="Arial" w:hint="cs"/>
          <w:noProof w:val="0"/>
          <w:rtl/>
        </w:rPr>
        <w:t xml:space="preserve">, </w:t>
      </w:r>
      <w:r w:rsidR="00727418">
        <w:rPr>
          <w:rFonts w:ascii="Arial" w:hAnsi="Arial" w:hint="cs"/>
          <w:noProof w:val="0"/>
          <w:rtl/>
        </w:rPr>
        <w:t>כפי שנטענו בתגובתה.</w:t>
      </w:r>
    </w:p>
    <w:p w:rsidR="00876975" w:rsidRDefault="00876975" w:rsidP="00727418">
      <w:pPr>
        <w:spacing w:after="120" w:line="360" w:lineRule="auto"/>
        <w:ind w:left="567" w:hanging="567"/>
        <w:jc w:val="both"/>
        <w:rPr>
          <w:rFonts w:ascii="Arial" w:hAnsi="Arial"/>
          <w:noProof w:val="0"/>
          <w:rtl/>
        </w:rPr>
      </w:pPr>
      <w:r>
        <w:rPr>
          <w:rFonts w:ascii="Arial" w:hAnsi="Arial" w:hint="cs"/>
          <w:noProof w:val="0"/>
          <w:rtl/>
        </w:rPr>
        <w:lastRenderedPageBreak/>
        <w:t>11.</w:t>
      </w:r>
      <w:r>
        <w:rPr>
          <w:rFonts w:ascii="Arial" w:hAnsi="Arial"/>
          <w:noProof w:val="0"/>
          <w:rtl/>
        </w:rPr>
        <w:tab/>
      </w:r>
      <w:r>
        <w:rPr>
          <w:rFonts w:ascii="Arial" w:hAnsi="Arial" w:hint="cs"/>
          <w:noProof w:val="0"/>
          <w:rtl/>
        </w:rPr>
        <w:t xml:space="preserve">טענתה של המשיבה, לפיה על המבקש להיעזר ראשית במשיבים, </w:t>
      </w:r>
      <w:r w:rsidR="00727418">
        <w:rPr>
          <w:rFonts w:ascii="Arial" w:hAnsi="Arial" w:hint="cs"/>
          <w:noProof w:val="0"/>
          <w:rtl/>
        </w:rPr>
        <w:t>אינה משכנעת</w:t>
      </w:r>
      <w:r>
        <w:rPr>
          <w:rFonts w:ascii="Arial" w:hAnsi="Arial" w:hint="cs"/>
          <w:noProof w:val="0"/>
          <w:rtl/>
        </w:rPr>
        <w:t xml:space="preserve">. </w:t>
      </w:r>
      <w:r w:rsidR="00727418">
        <w:rPr>
          <w:rFonts w:ascii="Arial" w:hAnsi="Arial" w:hint="cs"/>
          <w:noProof w:val="0"/>
          <w:rtl/>
        </w:rPr>
        <w:t>חזקה</w:t>
      </w:r>
      <w:r>
        <w:rPr>
          <w:rFonts w:ascii="Arial" w:hAnsi="Arial" w:hint="cs"/>
          <w:noProof w:val="0"/>
          <w:rtl/>
        </w:rPr>
        <w:t xml:space="preserve"> על המבקש כי </w:t>
      </w:r>
      <w:r w:rsidR="00727418">
        <w:rPr>
          <w:rFonts w:ascii="Arial" w:hAnsi="Arial" w:hint="cs"/>
          <w:noProof w:val="0"/>
          <w:rtl/>
        </w:rPr>
        <w:t>י</w:t>
      </w:r>
      <w:r>
        <w:rPr>
          <w:rFonts w:ascii="Arial" w:hAnsi="Arial" w:hint="cs"/>
          <w:noProof w:val="0"/>
          <w:rtl/>
        </w:rPr>
        <w:t>יעזר אף במשיבים (שלא הגיבו לבקשה, ככל הנראה מאחר שידועה להם החובה החוקית לסייע למבקש בתביעת השיבוב), אולם הדבר לא סותר ולא מוריד מהצורך של המבקש לעיין במסמכ</w:t>
      </w:r>
      <w:r w:rsidR="00727418">
        <w:rPr>
          <w:rFonts w:ascii="Arial" w:hAnsi="Arial" w:hint="cs"/>
          <w:noProof w:val="0"/>
          <w:rtl/>
        </w:rPr>
        <w:t>י התיק דנן בעצמו.</w:t>
      </w:r>
    </w:p>
    <w:p w:rsidR="00876975" w:rsidRDefault="00876975" w:rsidP="007733CE">
      <w:pPr>
        <w:spacing w:after="120" w:line="360" w:lineRule="auto"/>
        <w:ind w:left="567" w:hanging="567"/>
        <w:jc w:val="both"/>
        <w:rPr>
          <w:rFonts w:ascii="Arial" w:hAnsi="Arial"/>
          <w:noProof w:val="0"/>
          <w:rtl/>
        </w:rPr>
      </w:pPr>
    </w:p>
    <w:p w:rsidR="00876975" w:rsidRPr="00876975" w:rsidRDefault="00876975" w:rsidP="007733CE">
      <w:pPr>
        <w:spacing w:after="120" w:line="360" w:lineRule="auto"/>
        <w:ind w:left="567" w:hanging="567"/>
        <w:jc w:val="both"/>
        <w:rPr>
          <w:rFonts w:ascii="Arial" w:hAnsi="Arial"/>
          <w:b/>
          <w:bCs/>
          <w:noProof w:val="0"/>
          <w:u w:val="single"/>
          <w:rtl/>
        </w:rPr>
      </w:pPr>
      <w:r w:rsidRPr="00876975">
        <w:rPr>
          <w:rFonts w:ascii="Arial" w:hAnsi="Arial" w:hint="cs"/>
          <w:b/>
          <w:bCs/>
          <w:noProof w:val="0"/>
          <w:u w:val="single"/>
          <w:rtl/>
        </w:rPr>
        <w:t>סוף דבר</w:t>
      </w:r>
    </w:p>
    <w:p w:rsidR="00D22F25" w:rsidRDefault="000E57CC" w:rsidP="00876975">
      <w:pPr>
        <w:spacing w:after="120" w:line="360" w:lineRule="auto"/>
        <w:ind w:left="567" w:hanging="567"/>
        <w:jc w:val="both"/>
        <w:rPr>
          <w:rFonts w:ascii="Arial" w:hAnsi="Arial"/>
          <w:noProof w:val="0"/>
          <w:rtl/>
        </w:rPr>
      </w:pPr>
      <w:r>
        <w:rPr>
          <w:rFonts w:ascii="Arial" w:hAnsi="Arial" w:hint="cs"/>
          <w:noProof w:val="0"/>
          <w:rtl/>
        </w:rPr>
        <w:t>12</w:t>
      </w:r>
      <w:r w:rsidR="007733CE">
        <w:rPr>
          <w:rFonts w:ascii="Arial" w:hAnsi="Arial" w:hint="cs"/>
          <w:noProof w:val="0"/>
          <w:rtl/>
        </w:rPr>
        <w:t>.</w:t>
      </w:r>
      <w:r w:rsidR="007733CE">
        <w:rPr>
          <w:rFonts w:ascii="Arial" w:hAnsi="Arial"/>
          <w:noProof w:val="0"/>
          <w:rtl/>
        </w:rPr>
        <w:tab/>
      </w:r>
      <w:r w:rsidR="00876975" w:rsidRPr="00876975">
        <w:rPr>
          <w:rFonts w:ascii="Arial" w:hAnsi="Arial" w:hint="cs"/>
          <w:b/>
          <w:bCs/>
          <w:noProof w:val="0"/>
          <w:rtl/>
        </w:rPr>
        <w:t>לאור כל המקובץ לעיל,</w:t>
      </w:r>
      <w:r w:rsidR="00876975">
        <w:rPr>
          <w:rFonts w:ascii="Arial" w:hAnsi="Arial" w:hint="cs"/>
          <w:noProof w:val="0"/>
          <w:rtl/>
        </w:rPr>
        <w:t xml:space="preserve"> </w:t>
      </w:r>
      <w:r w:rsidR="00876975" w:rsidRPr="00876975">
        <w:rPr>
          <w:rFonts w:ascii="Arial" w:hAnsi="Arial" w:hint="cs"/>
          <w:b/>
          <w:bCs/>
          <w:noProof w:val="0"/>
          <w:rtl/>
        </w:rPr>
        <w:t>אני נעתר לבקשת העיון ומורה למזכירות לפתוח את התיק דנן לעיון המבקש, למשך 30 ימים מהיום</w:t>
      </w:r>
      <w:r w:rsidR="00876975">
        <w:rPr>
          <w:rFonts w:ascii="Arial" w:hAnsi="Arial" w:hint="cs"/>
          <w:noProof w:val="0"/>
          <w:rtl/>
        </w:rPr>
        <w:t>.</w:t>
      </w:r>
    </w:p>
    <w:p w:rsidR="000E57CC" w:rsidRDefault="000E57CC" w:rsidP="00876975">
      <w:pPr>
        <w:spacing w:after="120" w:line="360" w:lineRule="auto"/>
        <w:ind w:left="567" w:hanging="567"/>
        <w:jc w:val="both"/>
        <w:rPr>
          <w:rFonts w:ascii="Arial" w:hAnsi="Arial"/>
          <w:noProof w:val="0"/>
          <w:rtl/>
        </w:rPr>
      </w:pPr>
      <w:r>
        <w:rPr>
          <w:rFonts w:ascii="Arial" w:hAnsi="Arial" w:hint="cs"/>
          <w:noProof w:val="0"/>
          <w:rtl/>
        </w:rPr>
        <w:t>13.</w:t>
      </w:r>
      <w:r>
        <w:rPr>
          <w:rFonts w:ascii="Arial" w:hAnsi="Arial"/>
          <w:noProof w:val="0"/>
          <w:rtl/>
        </w:rPr>
        <w:tab/>
      </w:r>
      <w:r>
        <w:rPr>
          <w:rFonts w:ascii="Arial" w:hAnsi="Arial" w:hint="cs"/>
          <w:noProof w:val="0"/>
          <w:rtl/>
        </w:rPr>
        <w:t>אין צו להוצאות.</w:t>
      </w:r>
    </w:p>
    <w:p w:rsidR="000E57CC" w:rsidRDefault="000E57CC" w:rsidP="00876975">
      <w:pPr>
        <w:spacing w:after="120" w:line="360" w:lineRule="auto"/>
        <w:ind w:left="567" w:hanging="567"/>
        <w:jc w:val="both"/>
        <w:rPr>
          <w:rFonts w:ascii="Arial" w:hAnsi="Arial"/>
          <w:noProof w:val="0"/>
          <w:rtl/>
        </w:rPr>
      </w:pPr>
    </w:p>
    <w:p w:rsidR="000E57CC" w:rsidRDefault="000E57CC" w:rsidP="00876975">
      <w:pPr>
        <w:spacing w:after="120" w:line="360" w:lineRule="auto"/>
        <w:ind w:left="567" w:hanging="567"/>
        <w:jc w:val="both"/>
        <w:rPr>
          <w:rFonts w:ascii="Arial" w:hAnsi="Arial"/>
          <w:noProof w:val="0"/>
          <w:rtl/>
        </w:rPr>
      </w:pPr>
      <w:r w:rsidRPr="000E57CC">
        <w:rPr>
          <w:rFonts w:ascii="Arial" w:hAnsi="Arial" w:hint="cs"/>
          <w:b/>
          <w:bCs/>
          <w:noProof w:val="0"/>
          <w:rtl/>
        </w:rPr>
        <w:t>המזכירות תעביר החלטה זו לצדדים ולמבקש</w:t>
      </w:r>
      <w:r>
        <w:rPr>
          <w:rFonts w:ascii="Arial" w:hAnsi="Arial" w:hint="cs"/>
          <w:noProof w:val="0"/>
          <w:rtl/>
        </w:rPr>
        <w:t>.</w:t>
      </w:r>
    </w:p>
    <w:p w:rsidR="00683F07" w:rsidRDefault="00683F07" w:rsidP="00876975">
      <w:pPr>
        <w:spacing w:after="120" w:line="360" w:lineRule="auto"/>
        <w:ind w:left="567" w:hanging="567"/>
        <w:jc w:val="both"/>
        <w:rPr>
          <w:rFonts w:ascii="Arial" w:hAnsi="Arial"/>
          <w:noProof w:val="0"/>
          <w:rtl/>
        </w:rPr>
      </w:pPr>
      <w:r>
        <w:rPr>
          <w:rFonts w:ascii="Arial" w:hAnsi="Arial" w:hint="cs"/>
          <w:noProof w:val="0"/>
          <w:rtl/>
        </w:rPr>
        <w:t xml:space="preserve">החלטה זאת מותרת לפרסום תוך השמטת שמות הצדדים הפרטיים, וכל פרט מזהה אחר.  </w:t>
      </w:r>
    </w:p>
    <w:p w:rsidR="00694556" w:rsidRPr="00B95D6E" w:rsidRDefault="00694556" w:rsidP="006955F2">
      <w:pPr>
        <w:spacing w:after="120" w:line="360" w:lineRule="auto"/>
        <w:ind w:left="567" w:hanging="567"/>
        <w:jc w:val="both"/>
        <w:rPr>
          <w:rFonts w:ascii="Arial" w:hAnsi="Arial"/>
          <w:noProof w:val="0"/>
          <w:rtl/>
        </w:rPr>
      </w:pPr>
    </w:p>
    <w:p w:rsidR="00694556" w:rsidRPr="00B95D6E" w:rsidRDefault="00694556" w:rsidP="006955F2">
      <w:pPr>
        <w:spacing w:after="120" w:line="360" w:lineRule="auto"/>
        <w:ind w:left="567" w:hanging="567"/>
        <w:jc w:val="both"/>
        <w:rPr>
          <w:rFonts w:ascii="Arial" w:hAnsi="Arial"/>
          <w:noProof w:val="0"/>
          <w:rtl/>
        </w:rPr>
      </w:pPr>
    </w:p>
    <w:p w:rsidR="00694556" w:rsidRPr="00B95D6E" w:rsidRDefault="00694556" w:rsidP="006955F2">
      <w:pPr>
        <w:spacing w:after="120"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דצמבר 2024</w:t>
          </w:r>
        </w:sdtContent>
      </w:sdt>
      <w:r w:rsidR="00005C8B">
        <w:rPr>
          <w:rFonts w:ascii="Arial" w:hAnsi="Arial"/>
          <w:noProof w:val="0"/>
          <w:rtl/>
        </w:rPr>
        <w:t>, בהעדר הצדדים.</w:t>
      </w:r>
    </w:p>
    <w:p w:rsidR="00C43648" w:rsidRDefault="00B6649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01565588"/>
        </w:sdtPr>
        <w:sdtEndPr/>
        <w:sdtContent>
          <w:r w:rsidR="004B324E">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726E76">
      <w:headerReference w:type="even" r:id="rId8"/>
      <w:headerReference w:type="default" r:id="rId9"/>
      <w:footerReference w:type="even" r:id="rId10"/>
      <w:footerReference w:type="default" r:id="rId11"/>
      <w:headerReference w:type="first" r:id="rId12"/>
      <w:footerReference w:type="first" r:id="rId13"/>
      <w:pgSz w:w="11907" w:h="16840" w:code="9"/>
      <w:pgMar w:top="1440" w:right="992"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49E" w:rsidRDefault="00B6649E">
      <w:r>
        <w:separator/>
      </w:r>
    </w:p>
  </w:endnote>
  <w:endnote w:type="continuationSeparator" w:id="0">
    <w:p w:rsidR="00B6649E" w:rsidRDefault="00B6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D5" w:rsidRDefault="00E86C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BD3575">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BD3575">
      <w:rPr>
        <w:rStyle w:val="ab"/>
        <w:rFonts w:ascii="David" w:hAnsi="David"/>
        <w:rtl/>
      </w:rPr>
      <w:t>4</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D5" w:rsidRDefault="00E86C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49E" w:rsidRDefault="00B6649E">
      <w:r>
        <w:separator/>
      </w:r>
    </w:p>
  </w:footnote>
  <w:footnote w:type="continuationSeparator" w:id="0">
    <w:p w:rsidR="00B6649E" w:rsidRDefault="00B66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D5" w:rsidRDefault="00E86C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26E76" w:rsidRPr="00726E76" w:rsidRDefault="00B6649E" w:rsidP="00726E76">
          <w:pPr>
            <w:rPr>
              <w:b/>
              <w:bCs/>
              <w:noProof w:val="0"/>
              <w:sz w:val="26"/>
              <w:szCs w:val="26"/>
            </w:rPr>
          </w:pPr>
          <w:sdt>
            <w:sdtPr>
              <w:rPr>
                <w:rtl/>
              </w:rPr>
              <w:alias w:val="1170"/>
              <w:tag w:val="1170"/>
              <w:id w:val="1066377040"/>
              <w:text w:multiLine="1"/>
            </w:sdtPr>
            <w:sdtEndPr/>
            <w:sdtContent>
              <w:r w:rsidR="00E765F7">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39188-01-19</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פלוני נ' קרנית - קרן לפיצוי נפגעי תאונות דרכים</w:t>
              </w:r>
            </w:sdtContent>
          </w:sdt>
          <w:r w:rsidR="00CD516B">
            <w:rPr>
              <w:b/>
              <w:bCs/>
              <w:noProof w:val="0"/>
              <w:sz w:val="26"/>
              <w:szCs w:val="26"/>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CD5" w:rsidRDefault="00E86CD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2726"/>
    <w:rsid w:val="00064FBD"/>
    <w:rsid w:val="0007140D"/>
    <w:rsid w:val="00082AB2"/>
    <w:rsid w:val="000906FE"/>
    <w:rsid w:val="00096AF7"/>
    <w:rsid w:val="000B344B"/>
    <w:rsid w:val="000C3B0F"/>
    <w:rsid w:val="000C3B60"/>
    <w:rsid w:val="000E0DD2"/>
    <w:rsid w:val="000E2A14"/>
    <w:rsid w:val="000E3AF1"/>
    <w:rsid w:val="000E57CC"/>
    <w:rsid w:val="000F0BC8"/>
    <w:rsid w:val="000F0DD6"/>
    <w:rsid w:val="000F29DF"/>
    <w:rsid w:val="00107E6D"/>
    <w:rsid w:val="00110F9D"/>
    <w:rsid w:val="0011194C"/>
    <w:rsid w:val="0011424C"/>
    <w:rsid w:val="001173C6"/>
    <w:rsid w:val="0011793A"/>
    <w:rsid w:val="001367BC"/>
    <w:rsid w:val="00144D2A"/>
    <w:rsid w:val="0014653E"/>
    <w:rsid w:val="001741C8"/>
    <w:rsid w:val="00180519"/>
    <w:rsid w:val="00191C82"/>
    <w:rsid w:val="001C4003"/>
    <w:rsid w:val="001D4DBF"/>
    <w:rsid w:val="001E75CA"/>
    <w:rsid w:val="001F18F6"/>
    <w:rsid w:val="001F6FB0"/>
    <w:rsid w:val="002265FF"/>
    <w:rsid w:val="00235B97"/>
    <w:rsid w:val="00245718"/>
    <w:rsid w:val="00271B56"/>
    <w:rsid w:val="00283263"/>
    <w:rsid w:val="002872C0"/>
    <w:rsid w:val="002931AA"/>
    <w:rsid w:val="002C344E"/>
    <w:rsid w:val="002E75E9"/>
    <w:rsid w:val="002F0B1E"/>
    <w:rsid w:val="00300840"/>
    <w:rsid w:val="00307A6A"/>
    <w:rsid w:val="00307C40"/>
    <w:rsid w:val="00312F28"/>
    <w:rsid w:val="00320433"/>
    <w:rsid w:val="003230C7"/>
    <w:rsid w:val="00327E50"/>
    <w:rsid w:val="0033597A"/>
    <w:rsid w:val="00343D89"/>
    <w:rsid w:val="00343E95"/>
    <w:rsid w:val="00362612"/>
    <w:rsid w:val="0036743F"/>
    <w:rsid w:val="003715DD"/>
    <w:rsid w:val="003823E0"/>
    <w:rsid w:val="003852E0"/>
    <w:rsid w:val="003A4521"/>
    <w:rsid w:val="003B3E8D"/>
    <w:rsid w:val="003D1C8C"/>
    <w:rsid w:val="003D1D3B"/>
    <w:rsid w:val="0040096C"/>
    <w:rsid w:val="00414F1F"/>
    <w:rsid w:val="0043125D"/>
    <w:rsid w:val="0043502B"/>
    <w:rsid w:val="004443AC"/>
    <w:rsid w:val="00444B02"/>
    <w:rsid w:val="00451E28"/>
    <w:rsid w:val="004549C7"/>
    <w:rsid w:val="00462C62"/>
    <w:rsid w:val="00465D36"/>
    <w:rsid w:val="004B324E"/>
    <w:rsid w:val="004C17EE"/>
    <w:rsid w:val="004C1D4E"/>
    <w:rsid w:val="004C4BDF"/>
    <w:rsid w:val="004D1187"/>
    <w:rsid w:val="004D3AA0"/>
    <w:rsid w:val="004E1987"/>
    <w:rsid w:val="004E2E15"/>
    <w:rsid w:val="004E6E3C"/>
    <w:rsid w:val="00511B90"/>
    <w:rsid w:val="00520898"/>
    <w:rsid w:val="00523621"/>
    <w:rsid w:val="00524986"/>
    <w:rsid w:val="005268F6"/>
    <w:rsid w:val="00534284"/>
    <w:rsid w:val="0054112E"/>
    <w:rsid w:val="00547DB7"/>
    <w:rsid w:val="005571E6"/>
    <w:rsid w:val="00562008"/>
    <w:rsid w:val="005C0627"/>
    <w:rsid w:val="005F4F09"/>
    <w:rsid w:val="0061431B"/>
    <w:rsid w:val="00622BAA"/>
    <w:rsid w:val="006306CF"/>
    <w:rsid w:val="006318D8"/>
    <w:rsid w:val="00644E9A"/>
    <w:rsid w:val="00671A49"/>
    <w:rsid w:val="00671BD5"/>
    <w:rsid w:val="006805C1"/>
    <w:rsid w:val="00683F07"/>
    <w:rsid w:val="00686C21"/>
    <w:rsid w:val="006931C1"/>
    <w:rsid w:val="00694556"/>
    <w:rsid w:val="006955F2"/>
    <w:rsid w:val="006B7258"/>
    <w:rsid w:val="006C0FC5"/>
    <w:rsid w:val="006C30C5"/>
    <w:rsid w:val="006D3B31"/>
    <w:rsid w:val="006E0D96"/>
    <w:rsid w:val="006E1A53"/>
    <w:rsid w:val="006E7EA1"/>
    <w:rsid w:val="006F56E6"/>
    <w:rsid w:val="00704EDA"/>
    <w:rsid w:val="00721122"/>
    <w:rsid w:val="00726E76"/>
    <w:rsid w:val="00727418"/>
    <w:rsid w:val="00734689"/>
    <w:rsid w:val="00741B24"/>
    <w:rsid w:val="00746367"/>
    <w:rsid w:val="00753019"/>
    <w:rsid w:val="00754801"/>
    <w:rsid w:val="00761441"/>
    <w:rsid w:val="007733CE"/>
    <w:rsid w:val="00795365"/>
    <w:rsid w:val="007A351D"/>
    <w:rsid w:val="007B7765"/>
    <w:rsid w:val="007C5BDD"/>
    <w:rsid w:val="007D45E3"/>
    <w:rsid w:val="007E6115"/>
    <w:rsid w:val="007F4609"/>
    <w:rsid w:val="00814468"/>
    <w:rsid w:val="008176A1"/>
    <w:rsid w:val="00820005"/>
    <w:rsid w:val="00841158"/>
    <w:rsid w:val="00844318"/>
    <w:rsid w:val="00844C1B"/>
    <w:rsid w:val="00851257"/>
    <w:rsid w:val="00863F5D"/>
    <w:rsid w:val="00870890"/>
    <w:rsid w:val="00873602"/>
    <w:rsid w:val="00875D12"/>
    <w:rsid w:val="00876975"/>
    <w:rsid w:val="0088479D"/>
    <w:rsid w:val="00891F42"/>
    <w:rsid w:val="00893189"/>
    <w:rsid w:val="00896889"/>
    <w:rsid w:val="008A59EE"/>
    <w:rsid w:val="008A6E97"/>
    <w:rsid w:val="008B5A99"/>
    <w:rsid w:val="008C5714"/>
    <w:rsid w:val="008D10B2"/>
    <w:rsid w:val="00903896"/>
    <w:rsid w:val="00906F3D"/>
    <w:rsid w:val="0094424E"/>
    <w:rsid w:val="00955642"/>
    <w:rsid w:val="009622DF"/>
    <w:rsid w:val="0096493F"/>
    <w:rsid w:val="00967DFF"/>
    <w:rsid w:val="009777CA"/>
    <w:rsid w:val="00994341"/>
    <w:rsid w:val="009D1A48"/>
    <w:rsid w:val="009D325D"/>
    <w:rsid w:val="009E1CE7"/>
    <w:rsid w:val="009E4EA5"/>
    <w:rsid w:val="009F164B"/>
    <w:rsid w:val="009F323C"/>
    <w:rsid w:val="00A05891"/>
    <w:rsid w:val="00A20E76"/>
    <w:rsid w:val="00A217A1"/>
    <w:rsid w:val="00A3392B"/>
    <w:rsid w:val="00A54387"/>
    <w:rsid w:val="00A81988"/>
    <w:rsid w:val="00A85E34"/>
    <w:rsid w:val="00A87DF6"/>
    <w:rsid w:val="00A9144F"/>
    <w:rsid w:val="00A94B64"/>
    <w:rsid w:val="00AA3229"/>
    <w:rsid w:val="00AA7596"/>
    <w:rsid w:val="00AB139A"/>
    <w:rsid w:val="00AB5E52"/>
    <w:rsid w:val="00AC3B02"/>
    <w:rsid w:val="00AC3B7B"/>
    <w:rsid w:val="00AC5209"/>
    <w:rsid w:val="00AC5857"/>
    <w:rsid w:val="00AE0E34"/>
    <w:rsid w:val="00AE729E"/>
    <w:rsid w:val="00AE7752"/>
    <w:rsid w:val="00AF7FDA"/>
    <w:rsid w:val="00B07A6B"/>
    <w:rsid w:val="00B5356E"/>
    <w:rsid w:val="00B62AD7"/>
    <w:rsid w:val="00B64D2A"/>
    <w:rsid w:val="00B6649E"/>
    <w:rsid w:val="00B66717"/>
    <w:rsid w:val="00B809AD"/>
    <w:rsid w:val="00B80CBD"/>
    <w:rsid w:val="00B86096"/>
    <w:rsid w:val="00B95D6E"/>
    <w:rsid w:val="00B964D9"/>
    <w:rsid w:val="00BA0A7C"/>
    <w:rsid w:val="00BA517C"/>
    <w:rsid w:val="00BB3D05"/>
    <w:rsid w:val="00BB73BE"/>
    <w:rsid w:val="00BC2D89"/>
    <w:rsid w:val="00BD3575"/>
    <w:rsid w:val="00BD6531"/>
    <w:rsid w:val="00BE05B2"/>
    <w:rsid w:val="00BF1908"/>
    <w:rsid w:val="00C22D93"/>
    <w:rsid w:val="00C23458"/>
    <w:rsid w:val="00C31120"/>
    <w:rsid w:val="00C34482"/>
    <w:rsid w:val="00C43648"/>
    <w:rsid w:val="00C50A9F"/>
    <w:rsid w:val="00C642FA"/>
    <w:rsid w:val="00C80496"/>
    <w:rsid w:val="00CA24BA"/>
    <w:rsid w:val="00CC7622"/>
    <w:rsid w:val="00CD516B"/>
    <w:rsid w:val="00CD608F"/>
    <w:rsid w:val="00CE0084"/>
    <w:rsid w:val="00CF6BB7"/>
    <w:rsid w:val="00D04AA4"/>
    <w:rsid w:val="00D22F25"/>
    <w:rsid w:val="00D27982"/>
    <w:rsid w:val="00D33B86"/>
    <w:rsid w:val="00D34E40"/>
    <w:rsid w:val="00D44968"/>
    <w:rsid w:val="00D53924"/>
    <w:rsid w:val="00D55D0C"/>
    <w:rsid w:val="00D96D8C"/>
    <w:rsid w:val="00DA6649"/>
    <w:rsid w:val="00DC1259"/>
    <w:rsid w:val="00DC1BD2"/>
    <w:rsid w:val="00DC2571"/>
    <w:rsid w:val="00DC487C"/>
    <w:rsid w:val="00DC6948"/>
    <w:rsid w:val="00DD132A"/>
    <w:rsid w:val="00DD4335"/>
    <w:rsid w:val="00DE1E7D"/>
    <w:rsid w:val="00DE6BF6"/>
    <w:rsid w:val="00DF5460"/>
    <w:rsid w:val="00E1068A"/>
    <w:rsid w:val="00E1682C"/>
    <w:rsid w:val="00E25884"/>
    <w:rsid w:val="00E25B55"/>
    <w:rsid w:val="00E31C2B"/>
    <w:rsid w:val="00E5426A"/>
    <w:rsid w:val="00E54642"/>
    <w:rsid w:val="00E765F7"/>
    <w:rsid w:val="00E80CBE"/>
    <w:rsid w:val="00E86CD5"/>
    <w:rsid w:val="00E9269D"/>
    <w:rsid w:val="00E962E3"/>
    <w:rsid w:val="00EB6C79"/>
    <w:rsid w:val="00EC3279"/>
    <w:rsid w:val="00EC37E9"/>
    <w:rsid w:val="00F038D8"/>
    <w:rsid w:val="00F06995"/>
    <w:rsid w:val="00F12D66"/>
    <w:rsid w:val="00F13623"/>
    <w:rsid w:val="00F44D1D"/>
    <w:rsid w:val="00F5217B"/>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28088262">
      <w:bodyDiv w:val="1"/>
      <w:marLeft w:val="0"/>
      <w:marRight w:val="0"/>
      <w:marTop w:val="0"/>
      <w:marBottom w:val="0"/>
      <w:divBdr>
        <w:top w:val="none" w:sz="0" w:space="0" w:color="auto"/>
        <w:left w:val="none" w:sz="0" w:space="0" w:color="auto"/>
        <w:bottom w:val="none" w:sz="0" w:space="0" w:color="auto"/>
        <w:right w:val="none" w:sz="0" w:space="0" w:color="auto"/>
      </w:divBdr>
      <w:divsChild>
        <w:div w:id="1574854296">
          <w:marLeft w:val="0"/>
          <w:marRight w:val="0"/>
          <w:marTop w:val="0"/>
          <w:marBottom w:val="0"/>
          <w:divBdr>
            <w:top w:val="none" w:sz="0" w:space="0" w:color="auto"/>
            <w:left w:val="none" w:sz="0" w:space="0" w:color="auto"/>
            <w:bottom w:val="none" w:sz="0" w:space="0" w:color="auto"/>
            <w:right w:val="none" w:sz="0" w:space="0" w:color="auto"/>
          </w:divBdr>
        </w:div>
        <w:div w:id="90244262">
          <w:marLeft w:val="0"/>
          <w:marRight w:val="0"/>
          <w:marTop w:val="0"/>
          <w:marBottom w:val="0"/>
          <w:divBdr>
            <w:top w:val="none" w:sz="0" w:space="0" w:color="auto"/>
            <w:left w:val="none" w:sz="0" w:space="0" w:color="auto"/>
            <w:bottom w:val="none" w:sz="0" w:space="0" w:color="auto"/>
            <w:right w:val="none" w:sz="0" w:space="0" w:color="auto"/>
          </w:divBdr>
        </w:div>
        <w:div w:id="1889678855">
          <w:marLeft w:val="0"/>
          <w:marRight w:val="0"/>
          <w:marTop w:val="0"/>
          <w:marBottom w:val="0"/>
          <w:divBdr>
            <w:top w:val="none" w:sz="0" w:space="0" w:color="auto"/>
            <w:left w:val="none" w:sz="0" w:space="0" w:color="auto"/>
            <w:bottom w:val="none" w:sz="0" w:space="0" w:color="auto"/>
            <w:right w:val="none" w:sz="0" w:space="0" w:color="auto"/>
          </w:divBdr>
        </w:div>
        <w:div w:id="1304041906">
          <w:marLeft w:val="0"/>
          <w:marRight w:val="0"/>
          <w:marTop w:val="0"/>
          <w:marBottom w:val="0"/>
          <w:divBdr>
            <w:top w:val="none" w:sz="0" w:space="0" w:color="auto"/>
            <w:left w:val="none" w:sz="0" w:space="0" w:color="auto"/>
            <w:bottom w:val="none" w:sz="0" w:space="0" w:color="auto"/>
            <w:right w:val="none" w:sz="0" w:space="0" w:color="auto"/>
          </w:divBdr>
        </w:div>
        <w:div w:id="1315835335">
          <w:marLeft w:val="0"/>
          <w:marRight w:val="0"/>
          <w:marTop w:val="0"/>
          <w:marBottom w:val="0"/>
          <w:divBdr>
            <w:top w:val="none" w:sz="0" w:space="0" w:color="auto"/>
            <w:left w:val="none" w:sz="0" w:space="0" w:color="auto"/>
            <w:bottom w:val="none" w:sz="0" w:space="0" w:color="auto"/>
            <w:right w:val="none" w:sz="0" w:space="0" w:color="auto"/>
          </w:divBdr>
        </w:div>
        <w:div w:id="709955641">
          <w:marLeft w:val="0"/>
          <w:marRight w:val="0"/>
          <w:marTop w:val="0"/>
          <w:marBottom w:val="0"/>
          <w:divBdr>
            <w:top w:val="none" w:sz="0" w:space="0" w:color="auto"/>
            <w:left w:val="none" w:sz="0" w:space="0" w:color="auto"/>
            <w:bottom w:val="none" w:sz="0" w:space="0" w:color="auto"/>
            <w:right w:val="none" w:sz="0" w:space="0" w:color="auto"/>
          </w:divBdr>
        </w:div>
        <w:div w:id="1536196294">
          <w:marLeft w:val="0"/>
          <w:marRight w:val="0"/>
          <w:marTop w:val="0"/>
          <w:marBottom w:val="0"/>
          <w:divBdr>
            <w:top w:val="none" w:sz="0" w:space="0" w:color="auto"/>
            <w:left w:val="none" w:sz="0" w:space="0" w:color="auto"/>
            <w:bottom w:val="none" w:sz="0" w:space="0" w:color="auto"/>
            <w:right w:val="none" w:sz="0" w:space="0" w:color="auto"/>
          </w:divBdr>
        </w:div>
        <w:div w:id="693725827">
          <w:marLeft w:val="0"/>
          <w:marRight w:val="0"/>
          <w:marTop w:val="0"/>
          <w:marBottom w:val="0"/>
          <w:divBdr>
            <w:top w:val="none" w:sz="0" w:space="0" w:color="auto"/>
            <w:left w:val="none" w:sz="0" w:space="0" w:color="auto"/>
            <w:bottom w:val="none" w:sz="0" w:space="0" w:color="auto"/>
            <w:right w:val="none" w:sz="0" w:space="0" w:color="auto"/>
          </w:divBdr>
        </w:div>
        <w:div w:id="1552570919">
          <w:marLeft w:val="0"/>
          <w:marRight w:val="0"/>
          <w:marTop w:val="0"/>
          <w:marBottom w:val="0"/>
          <w:divBdr>
            <w:top w:val="none" w:sz="0" w:space="0" w:color="auto"/>
            <w:left w:val="none" w:sz="0" w:space="0" w:color="auto"/>
            <w:bottom w:val="none" w:sz="0" w:space="0" w:color="auto"/>
            <w:right w:val="none" w:sz="0" w:space="0" w:color="auto"/>
          </w:divBdr>
        </w:div>
        <w:div w:id="982470178">
          <w:marLeft w:val="0"/>
          <w:marRight w:val="0"/>
          <w:marTop w:val="0"/>
          <w:marBottom w:val="0"/>
          <w:divBdr>
            <w:top w:val="none" w:sz="0" w:space="0" w:color="auto"/>
            <w:left w:val="none" w:sz="0" w:space="0" w:color="auto"/>
            <w:bottom w:val="none" w:sz="0" w:space="0" w:color="auto"/>
            <w:right w:val="none" w:sz="0" w:space="0" w:color="auto"/>
          </w:divBdr>
        </w:div>
        <w:div w:id="366805401">
          <w:marLeft w:val="0"/>
          <w:marRight w:val="0"/>
          <w:marTop w:val="0"/>
          <w:marBottom w:val="0"/>
          <w:divBdr>
            <w:top w:val="none" w:sz="0" w:space="0" w:color="auto"/>
            <w:left w:val="none" w:sz="0" w:space="0" w:color="auto"/>
            <w:bottom w:val="none" w:sz="0" w:space="0" w:color="auto"/>
            <w:right w:val="none" w:sz="0" w:space="0" w:color="auto"/>
          </w:divBdr>
        </w:div>
        <w:div w:id="1574044196">
          <w:marLeft w:val="0"/>
          <w:marRight w:val="0"/>
          <w:marTop w:val="0"/>
          <w:marBottom w:val="0"/>
          <w:divBdr>
            <w:top w:val="none" w:sz="0" w:space="0" w:color="auto"/>
            <w:left w:val="none" w:sz="0" w:space="0" w:color="auto"/>
            <w:bottom w:val="none" w:sz="0" w:space="0" w:color="auto"/>
            <w:right w:val="none" w:sz="0" w:space="0" w:color="auto"/>
          </w:divBdr>
        </w:div>
        <w:div w:id="671373794">
          <w:marLeft w:val="0"/>
          <w:marRight w:val="0"/>
          <w:marTop w:val="0"/>
          <w:marBottom w:val="0"/>
          <w:divBdr>
            <w:top w:val="none" w:sz="0" w:space="0" w:color="auto"/>
            <w:left w:val="none" w:sz="0" w:space="0" w:color="auto"/>
            <w:bottom w:val="none" w:sz="0" w:space="0" w:color="auto"/>
            <w:right w:val="none" w:sz="0" w:space="0" w:color="auto"/>
          </w:divBdr>
        </w:div>
        <w:div w:id="1299147788">
          <w:marLeft w:val="0"/>
          <w:marRight w:val="0"/>
          <w:marTop w:val="0"/>
          <w:marBottom w:val="0"/>
          <w:divBdr>
            <w:top w:val="none" w:sz="0" w:space="0" w:color="auto"/>
            <w:left w:val="none" w:sz="0" w:space="0" w:color="auto"/>
            <w:bottom w:val="none" w:sz="0" w:space="0" w:color="auto"/>
            <w:right w:val="none" w:sz="0" w:space="0" w:color="auto"/>
          </w:divBdr>
        </w:div>
        <w:div w:id="855533561">
          <w:marLeft w:val="0"/>
          <w:marRight w:val="0"/>
          <w:marTop w:val="0"/>
          <w:marBottom w:val="0"/>
          <w:divBdr>
            <w:top w:val="none" w:sz="0" w:space="0" w:color="auto"/>
            <w:left w:val="none" w:sz="0" w:space="0" w:color="auto"/>
            <w:bottom w:val="none" w:sz="0" w:space="0" w:color="auto"/>
            <w:right w:val="none" w:sz="0" w:space="0" w:color="auto"/>
          </w:divBdr>
        </w:div>
        <w:div w:id="1550142987">
          <w:marLeft w:val="0"/>
          <w:marRight w:val="0"/>
          <w:marTop w:val="0"/>
          <w:marBottom w:val="0"/>
          <w:divBdr>
            <w:top w:val="none" w:sz="0" w:space="0" w:color="auto"/>
            <w:left w:val="none" w:sz="0" w:space="0" w:color="auto"/>
            <w:bottom w:val="none" w:sz="0" w:space="0" w:color="auto"/>
            <w:right w:val="none" w:sz="0" w:space="0" w:color="auto"/>
          </w:divBdr>
        </w:div>
        <w:div w:id="405735872">
          <w:marLeft w:val="0"/>
          <w:marRight w:val="0"/>
          <w:marTop w:val="0"/>
          <w:marBottom w:val="0"/>
          <w:divBdr>
            <w:top w:val="none" w:sz="0" w:space="0" w:color="auto"/>
            <w:left w:val="none" w:sz="0" w:space="0" w:color="auto"/>
            <w:bottom w:val="none" w:sz="0" w:space="0" w:color="auto"/>
            <w:right w:val="none" w:sz="0" w:space="0" w:color="auto"/>
          </w:divBdr>
        </w:div>
        <w:div w:id="158279607">
          <w:marLeft w:val="0"/>
          <w:marRight w:val="0"/>
          <w:marTop w:val="0"/>
          <w:marBottom w:val="0"/>
          <w:divBdr>
            <w:top w:val="none" w:sz="0" w:space="0" w:color="auto"/>
            <w:left w:val="none" w:sz="0" w:space="0" w:color="auto"/>
            <w:bottom w:val="none" w:sz="0" w:space="0" w:color="auto"/>
            <w:right w:val="none" w:sz="0" w:space="0" w:color="auto"/>
          </w:divBdr>
        </w:div>
        <w:div w:id="677778329">
          <w:marLeft w:val="0"/>
          <w:marRight w:val="0"/>
          <w:marTop w:val="0"/>
          <w:marBottom w:val="0"/>
          <w:divBdr>
            <w:top w:val="none" w:sz="0" w:space="0" w:color="auto"/>
            <w:left w:val="none" w:sz="0" w:space="0" w:color="auto"/>
            <w:bottom w:val="none" w:sz="0" w:space="0" w:color="auto"/>
            <w:right w:val="none" w:sz="0" w:space="0" w:color="auto"/>
          </w:divBdr>
        </w:div>
        <w:div w:id="1514342346">
          <w:marLeft w:val="0"/>
          <w:marRight w:val="0"/>
          <w:marTop w:val="0"/>
          <w:marBottom w:val="0"/>
          <w:divBdr>
            <w:top w:val="none" w:sz="0" w:space="0" w:color="auto"/>
            <w:left w:val="none" w:sz="0" w:space="0" w:color="auto"/>
            <w:bottom w:val="none" w:sz="0" w:space="0" w:color="auto"/>
            <w:right w:val="none" w:sz="0" w:space="0" w:color="auto"/>
          </w:divBdr>
        </w:div>
        <w:div w:id="1468209145">
          <w:marLeft w:val="0"/>
          <w:marRight w:val="0"/>
          <w:marTop w:val="0"/>
          <w:marBottom w:val="0"/>
          <w:divBdr>
            <w:top w:val="none" w:sz="0" w:space="0" w:color="auto"/>
            <w:left w:val="none" w:sz="0" w:space="0" w:color="auto"/>
            <w:bottom w:val="none" w:sz="0" w:space="0" w:color="auto"/>
            <w:right w:val="none" w:sz="0" w:space="0" w:color="auto"/>
          </w:divBdr>
        </w:div>
        <w:div w:id="1292052939">
          <w:marLeft w:val="0"/>
          <w:marRight w:val="0"/>
          <w:marTop w:val="0"/>
          <w:marBottom w:val="0"/>
          <w:divBdr>
            <w:top w:val="none" w:sz="0" w:space="0" w:color="auto"/>
            <w:left w:val="none" w:sz="0" w:space="0" w:color="auto"/>
            <w:bottom w:val="none" w:sz="0" w:space="0" w:color="auto"/>
            <w:right w:val="none" w:sz="0" w:space="0" w:color="auto"/>
          </w:divBdr>
        </w:div>
        <w:div w:id="1741978243">
          <w:marLeft w:val="0"/>
          <w:marRight w:val="0"/>
          <w:marTop w:val="0"/>
          <w:marBottom w:val="0"/>
          <w:divBdr>
            <w:top w:val="none" w:sz="0" w:space="0" w:color="auto"/>
            <w:left w:val="none" w:sz="0" w:space="0" w:color="auto"/>
            <w:bottom w:val="none" w:sz="0" w:space="0" w:color="auto"/>
            <w:right w:val="none" w:sz="0" w:space="0" w:color="auto"/>
          </w:divBdr>
        </w:div>
        <w:div w:id="544559573">
          <w:marLeft w:val="0"/>
          <w:marRight w:val="0"/>
          <w:marTop w:val="0"/>
          <w:marBottom w:val="0"/>
          <w:divBdr>
            <w:top w:val="none" w:sz="0" w:space="0" w:color="auto"/>
            <w:left w:val="none" w:sz="0" w:space="0" w:color="auto"/>
            <w:bottom w:val="none" w:sz="0" w:space="0" w:color="auto"/>
            <w:right w:val="none" w:sz="0" w:space="0" w:color="auto"/>
          </w:divBdr>
        </w:div>
      </w:divsChild>
    </w:div>
    <w:div w:id="19830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4C27AB"/>
    <w:rsid w:val="005157ED"/>
    <w:rsid w:val="00556D67"/>
    <w:rsid w:val="00673B50"/>
    <w:rsid w:val="00793995"/>
    <w:rsid w:val="007C6F98"/>
    <w:rsid w:val="007E254A"/>
    <w:rsid w:val="008B4366"/>
    <w:rsid w:val="00902677"/>
    <w:rsid w:val="009133C7"/>
    <w:rsid w:val="009178E4"/>
    <w:rsid w:val="00961B27"/>
    <w:rsid w:val="009A24A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972</Words>
  <Characters>4861</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2024-12-26T12:57:00Z</dcterms:created>
  <dcterms:modified xsi:type="dcterms:W3CDTF">2024-12-26T12:57:00Z</dcterms:modified>
</cp:coreProperties>
</file>